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EAE9" w14:textId="427FE5FF" w:rsidR="001A7780" w:rsidRPr="002A0139" w:rsidRDefault="007A6976" w:rsidP="002A0139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2A0139">
        <w:rPr>
          <w:rFonts w:cs="Arial"/>
          <w:b/>
          <w:sz w:val="24"/>
          <w:szCs w:val="24"/>
        </w:rPr>
        <w:t>A s</w:t>
      </w:r>
      <w:r w:rsidR="005648BA" w:rsidRPr="002A0139">
        <w:rPr>
          <w:rFonts w:cs="Arial"/>
          <w:b/>
          <w:sz w:val="24"/>
          <w:szCs w:val="24"/>
        </w:rPr>
        <w:t xml:space="preserve">patial analysis of the </w:t>
      </w:r>
      <w:r w:rsidR="00A135FB" w:rsidRPr="002A0139">
        <w:rPr>
          <w:rFonts w:cs="Arial"/>
          <w:b/>
          <w:sz w:val="24"/>
          <w:szCs w:val="24"/>
        </w:rPr>
        <w:t xml:space="preserve">robustness of the </w:t>
      </w:r>
      <w:r w:rsidRPr="002A0139">
        <w:rPr>
          <w:rFonts w:cs="Arial"/>
          <w:b/>
          <w:sz w:val="24"/>
          <w:szCs w:val="24"/>
        </w:rPr>
        <w:t>“</w:t>
      </w:r>
      <w:r w:rsidR="005648BA" w:rsidRPr="002A0139">
        <w:rPr>
          <w:rFonts w:cs="Arial"/>
          <w:b/>
          <w:sz w:val="24"/>
          <w:szCs w:val="24"/>
        </w:rPr>
        <w:t xml:space="preserve">private kill” abattoir </w:t>
      </w:r>
      <w:r w:rsidRPr="002A0139">
        <w:rPr>
          <w:rFonts w:cs="Arial"/>
          <w:b/>
          <w:sz w:val="24"/>
          <w:szCs w:val="24"/>
        </w:rPr>
        <w:t xml:space="preserve">network </w:t>
      </w:r>
      <w:r w:rsidR="005648BA" w:rsidRPr="002A0139">
        <w:rPr>
          <w:rFonts w:cs="Arial"/>
          <w:b/>
          <w:sz w:val="24"/>
          <w:szCs w:val="24"/>
        </w:rPr>
        <w:t>in the UK</w:t>
      </w:r>
      <w:r w:rsidR="00F61F3A" w:rsidRPr="002A0139">
        <w:rPr>
          <w:rFonts w:cs="Arial"/>
          <w:b/>
          <w:sz w:val="24"/>
          <w:szCs w:val="24"/>
        </w:rPr>
        <w:t xml:space="preserve">: </w:t>
      </w:r>
      <w:r w:rsidR="00A135FB" w:rsidRPr="002A0139">
        <w:rPr>
          <w:rFonts w:cs="Arial"/>
          <w:b/>
          <w:sz w:val="24"/>
          <w:szCs w:val="24"/>
        </w:rPr>
        <w:t xml:space="preserve">a </w:t>
      </w:r>
      <w:r w:rsidR="00F61F3A" w:rsidRPr="002A0139">
        <w:rPr>
          <w:rFonts w:cs="Arial"/>
          <w:b/>
          <w:sz w:val="24"/>
          <w:szCs w:val="24"/>
        </w:rPr>
        <w:t>proof of concept</w:t>
      </w:r>
      <w:r w:rsidR="00A135FB" w:rsidRPr="002A0139">
        <w:rPr>
          <w:rFonts w:cs="Arial"/>
          <w:b/>
          <w:sz w:val="24"/>
          <w:szCs w:val="24"/>
        </w:rPr>
        <w:t xml:space="preserve"> study</w:t>
      </w:r>
    </w:p>
    <w:p w14:paraId="37AD114D" w14:textId="0E3D0A63" w:rsidR="001A7780" w:rsidRPr="002A0139" w:rsidRDefault="00280BB1" w:rsidP="00280BB1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Jeremy R. Franks, Jessica Hepburn, Rachel Peden</w:t>
      </w:r>
    </w:p>
    <w:p w14:paraId="1A46D255" w14:textId="24D69BC9" w:rsidR="00801B69" w:rsidRPr="002A0139" w:rsidRDefault="002A0139" w:rsidP="002A0139">
      <w:pPr>
        <w:spacing w:line="360" w:lineRule="auto"/>
        <w:ind w:left="1134" w:right="1134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2A0139">
        <w:rPr>
          <w:rFonts w:ascii="Times New Roman" w:hAnsi="Times New Roman"/>
          <w:bCs/>
          <w:i/>
          <w:iCs/>
          <w:sz w:val="24"/>
          <w:szCs w:val="24"/>
        </w:rPr>
        <w:t>L</w:t>
      </w:r>
      <w:r w:rsidR="00225B8E" w:rsidRPr="002A0139">
        <w:rPr>
          <w:rFonts w:ascii="Times New Roman" w:hAnsi="Times New Roman"/>
          <w:bCs/>
          <w:i/>
          <w:iCs/>
          <w:sz w:val="24"/>
          <w:szCs w:val="24"/>
        </w:rPr>
        <w:t>ong-term trend in t</w:t>
      </w:r>
      <w:r w:rsidR="00E81575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he </w:t>
      </w:r>
      <w:r w:rsidR="00E25849" w:rsidRPr="002A0139">
        <w:rPr>
          <w:rFonts w:ascii="Times New Roman" w:hAnsi="Times New Roman"/>
          <w:bCs/>
          <w:i/>
          <w:iCs/>
          <w:sz w:val="24"/>
          <w:szCs w:val="24"/>
        </w:rPr>
        <w:t>closure</w:t>
      </w:r>
      <w:r w:rsidR="00AA6E67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of </w:t>
      </w:r>
      <w:r w:rsidR="002E66D3" w:rsidRPr="002A0139">
        <w:rPr>
          <w:rFonts w:ascii="Times New Roman" w:hAnsi="Times New Roman"/>
          <w:bCs/>
          <w:i/>
          <w:iCs/>
          <w:sz w:val="24"/>
          <w:szCs w:val="24"/>
        </w:rPr>
        <w:t>abattoir</w:t>
      </w:r>
      <w:r w:rsidR="00AA6E67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businesses</w:t>
      </w:r>
      <w:r w:rsidR="002E66D3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7A6976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has </w:t>
      </w:r>
      <w:r w:rsidR="00183B27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reduced </w:t>
      </w:r>
      <w:r w:rsidR="00E25849" w:rsidRPr="002A0139">
        <w:rPr>
          <w:rFonts w:ascii="Times New Roman" w:hAnsi="Times New Roman"/>
          <w:bCs/>
          <w:i/>
          <w:iCs/>
          <w:sz w:val="24"/>
          <w:szCs w:val="24"/>
        </w:rPr>
        <w:t>“</w:t>
      </w:r>
      <w:r w:rsidR="00801B69" w:rsidRPr="002A0139">
        <w:rPr>
          <w:rFonts w:ascii="Times New Roman" w:hAnsi="Times New Roman"/>
          <w:bCs/>
          <w:i/>
          <w:iCs/>
          <w:sz w:val="24"/>
          <w:szCs w:val="24"/>
        </w:rPr>
        <w:t>private kill</w:t>
      </w:r>
      <w:r w:rsidR="00E25849" w:rsidRPr="002A0139">
        <w:rPr>
          <w:rFonts w:ascii="Times New Roman" w:hAnsi="Times New Roman"/>
          <w:bCs/>
          <w:i/>
          <w:iCs/>
          <w:sz w:val="24"/>
          <w:szCs w:val="24"/>
        </w:rPr>
        <w:t>”</w:t>
      </w:r>
      <w:r w:rsidR="00801B69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25849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provision </w:t>
      </w:r>
      <w:r w:rsidR="00AA6E67" w:rsidRPr="002A0139">
        <w:rPr>
          <w:rFonts w:ascii="Times New Roman" w:hAnsi="Times New Roman"/>
          <w:bCs/>
          <w:i/>
          <w:iCs/>
          <w:sz w:val="24"/>
          <w:szCs w:val="24"/>
        </w:rPr>
        <w:t>across the UK</w:t>
      </w:r>
      <w:r w:rsidR="003C1DCD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leading to </w:t>
      </w:r>
      <w:r w:rsidR="003C1DCD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longer and more complex </w:t>
      </w:r>
      <w:r w:rsidR="007A6976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livestock journeys </w:t>
      </w:r>
      <w:r w:rsidR="00801B69" w:rsidRPr="002A0139">
        <w:rPr>
          <w:rFonts w:ascii="Times New Roman" w:hAnsi="Times New Roman"/>
          <w:bCs/>
          <w:i/>
          <w:iCs/>
          <w:sz w:val="24"/>
          <w:szCs w:val="24"/>
        </w:rPr>
        <w:t>-</w:t>
      </w:r>
      <w:r w:rsidR="00835993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jeopardising </w:t>
      </w:r>
      <w:r w:rsidR="00E81575" w:rsidRPr="002A0139">
        <w:rPr>
          <w:rFonts w:ascii="Times New Roman" w:hAnsi="Times New Roman"/>
          <w:bCs/>
          <w:i/>
          <w:iCs/>
          <w:sz w:val="24"/>
          <w:szCs w:val="24"/>
        </w:rPr>
        <w:t>animal welfare</w:t>
      </w:r>
      <w:r w:rsidR="009B716D" w:rsidRPr="002A0139">
        <w:rPr>
          <w:rFonts w:ascii="Times New Roman" w:hAnsi="Times New Roman"/>
          <w:bCs/>
          <w:i/>
          <w:iCs/>
          <w:sz w:val="24"/>
          <w:szCs w:val="24"/>
        </w:rPr>
        <w:t>,</w:t>
      </w:r>
      <w:r w:rsidR="00B5516F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and threaten</w:t>
      </w:r>
      <w:r w:rsidR="003C1DCD" w:rsidRPr="002A0139">
        <w:rPr>
          <w:rFonts w:ascii="Times New Roman" w:hAnsi="Times New Roman"/>
          <w:bCs/>
          <w:i/>
          <w:iCs/>
          <w:sz w:val="24"/>
          <w:szCs w:val="24"/>
        </w:rPr>
        <w:t>ing</w:t>
      </w:r>
      <w:r w:rsidR="00B5516F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F61F3A" w:rsidRPr="002A0139">
        <w:rPr>
          <w:rFonts w:ascii="Times New Roman" w:hAnsi="Times New Roman"/>
          <w:bCs/>
          <w:i/>
          <w:iCs/>
          <w:sz w:val="24"/>
          <w:szCs w:val="24"/>
        </w:rPr>
        <w:t>the viability of the locally-</w:t>
      </w:r>
      <w:r w:rsidR="00166C25" w:rsidRPr="002A0139">
        <w:rPr>
          <w:rFonts w:ascii="Times New Roman" w:hAnsi="Times New Roman"/>
          <w:bCs/>
          <w:i/>
          <w:iCs/>
          <w:sz w:val="24"/>
          <w:szCs w:val="24"/>
        </w:rPr>
        <w:t>finished</w:t>
      </w:r>
      <w:r w:rsidR="00F61F3A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and </w:t>
      </w:r>
      <w:r w:rsidR="0001377A" w:rsidRPr="002A0139">
        <w:rPr>
          <w:rFonts w:ascii="Times New Roman" w:hAnsi="Times New Roman"/>
          <w:bCs/>
          <w:i/>
          <w:iCs/>
          <w:sz w:val="24"/>
          <w:szCs w:val="24"/>
        </w:rPr>
        <w:t>-</w:t>
      </w:r>
      <w:r w:rsidR="00F61F3A" w:rsidRPr="002A0139">
        <w:rPr>
          <w:rFonts w:ascii="Times New Roman" w:hAnsi="Times New Roman"/>
          <w:bCs/>
          <w:i/>
          <w:iCs/>
          <w:sz w:val="24"/>
          <w:szCs w:val="24"/>
        </w:rPr>
        <w:t>slaughtered red meat supply chain</w:t>
      </w:r>
      <w:r w:rsidR="00BB36E4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="00AB481C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183B27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This </w:t>
      </w:r>
      <w:r w:rsidR="00721B8B" w:rsidRPr="002A0139">
        <w:rPr>
          <w:rFonts w:ascii="Times New Roman" w:hAnsi="Times New Roman"/>
          <w:bCs/>
          <w:i/>
          <w:iCs/>
          <w:sz w:val="24"/>
          <w:szCs w:val="24"/>
        </w:rPr>
        <w:t>“</w:t>
      </w:r>
      <w:r w:rsidR="00183B27" w:rsidRPr="002A0139">
        <w:rPr>
          <w:rFonts w:ascii="Times New Roman" w:hAnsi="Times New Roman"/>
          <w:bCs/>
          <w:i/>
          <w:iCs/>
          <w:sz w:val="24"/>
          <w:szCs w:val="24"/>
        </w:rPr>
        <w:t>proof of concept</w:t>
      </w:r>
      <w:r w:rsidR="00721B8B" w:rsidRPr="002A0139">
        <w:rPr>
          <w:rFonts w:ascii="Times New Roman" w:hAnsi="Times New Roman"/>
          <w:bCs/>
          <w:i/>
          <w:iCs/>
          <w:sz w:val="24"/>
          <w:szCs w:val="24"/>
        </w:rPr>
        <w:t>”</w:t>
      </w:r>
      <w:r w:rsidR="00183B27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study 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uses farmer and abattoir </w:t>
      </w:r>
      <w:r w:rsidR="0073749C" w:rsidRPr="002A0139">
        <w:rPr>
          <w:rFonts w:ascii="Times New Roman" w:hAnsi="Times New Roman"/>
          <w:bCs/>
          <w:i/>
          <w:iCs/>
          <w:sz w:val="24"/>
          <w:szCs w:val="24"/>
        </w:rPr>
        <w:t>survey data, GIS software and Monte</w:t>
      </w:r>
      <w:r w:rsidR="00410BF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73749C" w:rsidRPr="002A0139">
        <w:rPr>
          <w:rFonts w:ascii="Times New Roman" w:hAnsi="Times New Roman"/>
          <w:bCs/>
          <w:i/>
          <w:iCs/>
          <w:sz w:val="24"/>
          <w:szCs w:val="24"/>
        </w:rPr>
        <w:t>Carlo simulations to estimate the impact</w:t>
      </w:r>
      <w:r w:rsidR="009B716D" w:rsidRPr="002A0139">
        <w:rPr>
          <w:rFonts w:ascii="Times New Roman" w:hAnsi="Times New Roman"/>
          <w:bCs/>
          <w:i/>
          <w:iCs/>
          <w:sz w:val="24"/>
          <w:szCs w:val="24"/>
        </w:rPr>
        <w:t>s</w:t>
      </w:r>
      <w:r w:rsidR="0073749C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of</w:t>
      </w:r>
      <w:r w:rsidR="007D0379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possible 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further </w:t>
      </w:r>
      <w:r w:rsidR="0073749C" w:rsidRPr="002A0139">
        <w:rPr>
          <w:rFonts w:ascii="Times New Roman" w:hAnsi="Times New Roman"/>
          <w:bCs/>
          <w:i/>
          <w:iCs/>
          <w:sz w:val="24"/>
          <w:szCs w:val="24"/>
        </w:rPr>
        <w:t>closure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>s</w:t>
      </w:r>
      <w:r w:rsidR="0073749C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of private kill abattoirs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on the robustness of the private kill network.  </w:t>
      </w:r>
      <w:r w:rsidR="0073749C" w:rsidRPr="002A0139">
        <w:rPr>
          <w:rFonts w:ascii="Times New Roman" w:hAnsi="Times New Roman"/>
          <w:bCs/>
          <w:i/>
          <w:iCs/>
          <w:sz w:val="24"/>
          <w:szCs w:val="24"/>
        </w:rPr>
        <w:t>In August 2020, w</w:t>
      </w:r>
      <w:r w:rsidR="00E25849" w:rsidRPr="002A0139">
        <w:rPr>
          <w:rFonts w:ascii="Times New Roman" w:hAnsi="Times New Roman"/>
          <w:bCs/>
          <w:i/>
          <w:iCs/>
          <w:sz w:val="24"/>
          <w:szCs w:val="24"/>
        </w:rPr>
        <w:t>e</w:t>
      </w:r>
      <w:r w:rsidR="003A0926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estimate 18% of the UK was further than 45kms from </w:t>
      </w:r>
      <w:r w:rsidR="0073749C" w:rsidRPr="002A0139">
        <w:rPr>
          <w:rFonts w:ascii="Times New Roman" w:hAnsi="Times New Roman"/>
          <w:bCs/>
          <w:i/>
          <w:iCs/>
          <w:sz w:val="24"/>
          <w:szCs w:val="24"/>
        </w:rPr>
        <w:t>a</w:t>
      </w:r>
      <w:r w:rsidR="003A0926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private kill </w:t>
      </w:r>
      <w:r w:rsidR="0073749C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abattoir, 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while </w:t>
      </w:r>
      <w:r w:rsidR="0073749C" w:rsidRPr="002A0139">
        <w:rPr>
          <w:rFonts w:ascii="Times New Roman" w:hAnsi="Times New Roman"/>
          <w:bCs/>
          <w:i/>
          <w:iCs/>
          <w:sz w:val="24"/>
          <w:szCs w:val="24"/>
        </w:rPr>
        <w:t>2</w:t>
      </w:r>
      <w:r w:rsidR="00DD0D23">
        <w:rPr>
          <w:rFonts w:ascii="Times New Roman" w:hAnsi="Times New Roman"/>
          <w:bCs/>
          <w:i/>
          <w:iCs/>
          <w:sz w:val="24"/>
          <w:szCs w:val="24"/>
        </w:rPr>
        <w:t>1</w:t>
      </w:r>
      <w:r w:rsidR="0073749C" w:rsidRPr="002A0139">
        <w:rPr>
          <w:rFonts w:ascii="Times New Roman" w:hAnsi="Times New Roman"/>
          <w:bCs/>
          <w:i/>
          <w:iCs/>
          <w:sz w:val="24"/>
          <w:szCs w:val="24"/>
        </w:rPr>
        <w:t>% was serviced by one, 1</w:t>
      </w:r>
      <w:r w:rsidR="00DD0D23">
        <w:rPr>
          <w:rFonts w:ascii="Times New Roman" w:hAnsi="Times New Roman"/>
          <w:bCs/>
          <w:i/>
          <w:iCs/>
          <w:sz w:val="24"/>
          <w:szCs w:val="24"/>
        </w:rPr>
        <w:t>4</w:t>
      </w:r>
      <w:r w:rsidR="0073749C" w:rsidRPr="002A0139">
        <w:rPr>
          <w:rFonts w:ascii="Times New Roman" w:hAnsi="Times New Roman"/>
          <w:bCs/>
          <w:i/>
          <w:iCs/>
          <w:sz w:val="24"/>
          <w:szCs w:val="24"/>
        </w:rPr>
        <w:t>% by two and 47</w:t>
      </w:r>
      <w:r w:rsidR="00DD0D23">
        <w:rPr>
          <w:rFonts w:ascii="Times New Roman" w:hAnsi="Times New Roman"/>
          <w:bCs/>
          <w:i/>
          <w:iCs/>
          <w:sz w:val="24"/>
          <w:szCs w:val="24"/>
        </w:rPr>
        <w:t>%</w:t>
      </w:r>
      <w:r w:rsidR="0073749C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by three or more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abattoirs</w:t>
      </w:r>
      <w:r w:rsidR="0073749C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.  </w:t>
      </w:r>
      <w:r w:rsidR="007D0379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We estimate </w:t>
      </w:r>
      <w:r w:rsidR="00DD0D23">
        <w:rPr>
          <w:rFonts w:ascii="Times New Roman" w:hAnsi="Times New Roman"/>
          <w:bCs/>
          <w:i/>
          <w:iCs/>
          <w:sz w:val="24"/>
          <w:szCs w:val="24"/>
        </w:rPr>
        <w:t xml:space="preserve">the robustness of the private kill network by calculating the size of these areas in turn </w:t>
      </w:r>
      <w:r w:rsidR="007D0379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should 9% or 18% of the existing private kill abattoirs stop operating.  In both scenarios the area further than 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>45km from a private kill service</w:t>
      </w:r>
      <w:r w:rsidR="004D35AB" w:rsidRPr="002A0139">
        <w:rPr>
          <w:rFonts w:ascii="Times New Roman" w:hAnsi="Times New Roman"/>
          <w:bCs/>
          <w:i/>
          <w:iCs/>
          <w:sz w:val="24"/>
          <w:szCs w:val="24"/>
        </w:rPr>
        <w:t>, and with one and two providers increased, while the area with three or more providers decreased</w:t>
      </w:r>
      <w:r w:rsidR="009B716D" w:rsidRPr="002A0139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7D0379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  <w:r w:rsidR="00B5516F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The discussion considers </w:t>
      </w:r>
      <w:r w:rsidR="009B716D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additional </w:t>
      </w:r>
      <w:r w:rsidR="00BB36E4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information </w:t>
      </w:r>
      <w:r w:rsidR="009B716D" w:rsidRPr="002A0139">
        <w:rPr>
          <w:rFonts w:ascii="Times New Roman" w:hAnsi="Times New Roman"/>
          <w:bCs/>
          <w:i/>
          <w:iCs/>
          <w:sz w:val="24"/>
          <w:szCs w:val="24"/>
        </w:rPr>
        <w:t>needed</w:t>
      </w:r>
      <w:r w:rsidR="003A0926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to </w:t>
      </w:r>
      <w:r w:rsidR="00DD0D23">
        <w:rPr>
          <w:rFonts w:ascii="Times New Roman" w:hAnsi="Times New Roman"/>
          <w:bCs/>
          <w:i/>
          <w:iCs/>
          <w:sz w:val="24"/>
          <w:szCs w:val="24"/>
        </w:rPr>
        <w:t xml:space="preserve">allow 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this </w:t>
      </w:r>
      <w:r w:rsidR="007D0379" w:rsidRPr="002A0139">
        <w:rPr>
          <w:rFonts w:ascii="Times New Roman" w:hAnsi="Times New Roman"/>
          <w:bCs/>
          <w:i/>
          <w:iCs/>
          <w:sz w:val="24"/>
          <w:szCs w:val="24"/>
        </w:rPr>
        <w:t>methodology a</w:t>
      </w:r>
      <w:r w:rsidR="004D35A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DD0D23">
        <w:rPr>
          <w:rFonts w:ascii="Times New Roman" w:hAnsi="Times New Roman"/>
          <w:bCs/>
          <w:i/>
          <w:iCs/>
          <w:sz w:val="24"/>
          <w:szCs w:val="24"/>
        </w:rPr>
        <w:t xml:space="preserve">become a </w:t>
      </w:r>
      <w:r w:rsidR="004D35A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useful 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tool for </w:t>
      </w:r>
      <w:r w:rsidR="00DD0D23">
        <w:rPr>
          <w:rFonts w:ascii="Times New Roman" w:hAnsi="Times New Roman"/>
          <w:bCs/>
          <w:i/>
          <w:iCs/>
          <w:sz w:val="24"/>
          <w:szCs w:val="24"/>
        </w:rPr>
        <w:t xml:space="preserve">supporting the private kill network by </w:t>
      </w:r>
      <w:r w:rsidR="004D35A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providing 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support </w:t>
      </w:r>
      <w:r w:rsidR="007D0379" w:rsidRPr="002A0139">
        <w:rPr>
          <w:rFonts w:ascii="Times New Roman" w:hAnsi="Times New Roman"/>
          <w:bCs/>
          <w:i/>
          <w:iCs/>
          <w:sz w:val="24"/>
          <w:szCs w:val="24"/>
        </w:rPr>
        <w:t>to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DD0D23">
        <w:rPr>
          <w:rFonts w:ascii="Times New Roman" w:hAnsi="Times New Roman"/>
          <w:bCs/>
          <w:i/>
          <w:iCs/>
          <w:sz w:val="24"/>
          <w:szCs w:val="24"/>
        </w:rPr>
        <w:t xml:space="preserve">strategically located </w:t>
      </w:r>
      <w:r w:rsidR="00A135FB" w:rsidRPr="002A0139">
        <w:rPr>
          <w:rFonts w:ascii="Times New Roman" w:hAnsi="Times New Roman"/>
          <w:bCs/>
          <w:i/>
          <w:iCs/>
          <w:sz w:val="24"/>
          <w:szCs w:val="24"/>
        </w:rPr>
        <w:t>abattoir businesses</w:t>
      </w:r>
      <w:r w:rsidR="00DD0D23">
        <w:rPr>
          <w:rFonts w:ascii="Times New Roman" w:hAnsi="Times New Roman"/>
          <w:bCs/>
          <w:i/>
          <w:iCs/>
          <w:sz w:val="24"/>
          <w:szCs w:val="24"/>
        </w:rPr>
        <w:t xml:space="preserve"> within the overarching network of private kill businesses</w:t>
      </w:r>
      <w:r w:rsidR="00F61F3A" w:rsidRPr="002A0139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4D732554" w14:textId="77777777" w:rsidR="002A0139" w:rsidRPr="002A0139" w:rsidRDefault="002A0139" w:rsidP="002A0139">
      <w:pPr>
        <w:spacing w:line="360" w:lineRule="auto"/>
        <w:jc w:val="both"/>
        <w:rPr>
          <w:rFonts w:cs="Arial"/>
          <w:bCs/>
          <w:i/>
          <w:iCs/>
          <w:sz w:val="24"/>
          <w:szCs w:val="24"/>
        </w:rPr>
      </w:pPr>
    </w:p>
    <w:p w14:paraId="614E3769" w14:textId="58A32178" w:rsidR="00D31677" w:rsidRPr="00B530BB" w:rsidRDefault="00D31677" w:rsidP="002A0139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530BB">
        <w:rPr>
          <w:rFonts w:ascii="Times New Roman" w:hAnsi="Times New Roman"/>
          <w:bCs/>
          <w:sz w:val="24"/>
          <w:szCs w:val="24"/>
        </w:rPr>
        <w:t xml:space="preserve">(Key words: private kill, </w:t>
      </w:r>
      <w:r w:rsidR="00B5516F" w:rsidRPr="00B530BB">
        <w:rPr>
          <w:rFonts w:ascii="Times New Roman" w:hAnsi="Times New Roman"/>
          <w:bCs/>
          <w:sz w:val="24"/>
          <w:szCs w:val="24"/>
        </w:rPr>
        <w:t xml:space="preserve">survey, </w:t>
      </w:r>
      <w:r w:rsidRPr="00B530BB">
        <w:rPr>
          <w:rFonts w:ascii="Times New Roman" w:hAnsi="Times New Roman"/>
          <w:bCs/>
          <w:sz w:val="24"/>
          <w:szCs w:val="24"/>
        </w:rPr>
        <w:t>abattoir</w:t>
      </w:r>
      <w:r w:rsidR="00B5516F" w:rsidRPr="00B530BB">
        <w:rPr>
          <w:rFonts w:ascii="Times New Roman" w:hAnsi="Times New Roman"/>
          <w:bCs/>
          <w:sz w:val="24"/>
          <w:szCs w:val="24"/>
        </w:rPr>
        <w:t>s</w:t>
      </w:r>
      <w:r w:rsidRPr="00B530BB">
        <w:rPr>
          <w:rFonts w:ascii="Times New Roman" w:hAnsi="Times New Roman"/>
          <w:bCs/>
          <w:sz w:val="24"/>
          <w:szCs w:val="24"/>
        </w:rPr>
        <w:t xml:space="preserve">, GIS, </w:t>
      </w:r>
      <w:r w:rsidR="00B5516F" w:rsidRPr="00B530BB">
        <w:rPr>
          <w:rFonts w:ascii="Times New Roman" w:hAnsi="Times New Roman"/>
          <w:bCs/>
          <w:sz w:val="24"/>
          <w:szCs w:val="24"/>
        </w:rPr>
        <w:t>Monte</w:t>
      </w:r>
      <w:r w:rsidR="00410BFA">
        <w:rPr>
          <w:rFonts w:ascii="Times New Roman" w:hAnsi="Times New Roman"/>
          <w:bCs/>
          <w:sz w:val="24"/>
          <w:szCs w:val="24"/>
        </w:rPr>
        <w:t xml:space="preserve"> </w:t>
      </w:r>
      <w:r w:rsidR="00B5516F" w:rsidRPr="00B530BB">
        <w:rPr>
          <w:rFonts w:ascii="Times New Roman" w:hAnsi="Times New Roman"/>
          <w:bCs/>
          <w:sz w:val="24"/>
          <w:szCs w:val="24"/>
        </w:rPr>
        <w:t>Carlo, financial stress</w:t>
      </w:r>
      <w:r w:rsidRPr="00B530BB">
        <w:rPr>
          <w:rFonts w:ascii="Times New Roman" w:hAnsi="Times New Roman"/>
          <w:bCs/>
          <w:sz w:val="24"/>
          <w:szCs w:val="24"/>
        </w:rPr>
        <w:t>)</w:t>
      </w:r>
    </w:p>
    <w:p w14:paraId="175AFDDE" w14:textId="77777777" w:rsidR="00D20D22" w:rsidRPr="00B530BB" w:rsidRDefault="00D20D22" w:rsidP="002A0139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CD8214" w14:textId="1E63EB6E" w:rsidR="00526434" w:rsidRPr="00B530BB" w:rsidRDefault="00526434" w:rsidP="002A013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30BB">
        <w:rPr>
          <w:rFonts w:ascii="Times New Roman" w:hAnsi="Times New Roman"/>
          <w:b/>
          <w:sz w:val="24"/>
          <w:szCs w:val="24"/>
        </w:rPr>
        <w:t>1</w:t>
      </w:r>
      <w:r w:rsidRPr="00B530BB">
        <w:rPr>
          <w:rFonts w:ascii="Times New Roman" w:hAnsi="Times New Roman"/>
          <w:b/>
          <w:sz w:val="24"/>
          <w:szCs w:val="24"/>
        </w:rPr>
        <w:tab/>
        <w:t>Introduction</w:t>
      </w:r>
    </w:p>
    <w:p w14:paraId="767C7FAD" w14:textId="190C359C" w:rsidR="00387BA4" w:rsidRPr="00B530BB" w:rsidRDefault="00387BA4" w:rsidP="002A0139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1B819455" w14:textId="7B449EF3" w:rsidR="00FC531B" w:rsidRPr="00B530BB" w:rsidRDefault="00DD0D23" w:rsidP="002A0139">
      <w:pPr>
        <w:spacing w:line="36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Two key</w:t>
      </w:r>
      <w:r w:rsidR="006D2C5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A735C" w:rsidRPr="00B530BB">
        <w:rPr>
          <w:rFonts w:ascii="Times New Roman" w:hAnsi="Times New Roman"/>
          <w:bCs/>
          <w:color w:val="000000" w:themeColor="text1"/>
          <w:sz w:val="24"/>
          <w:szCs w:val="24"/>
        </w:rPr>
        <w:t>UK government</w:t>
      </w:r>
      <w:r w:rsidR="00B66B9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A735C" w:rsidRPr="00B530B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policy objectives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are</w:t>
      </w:r>
      <w:r w:rsidR="00B66B9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to </w:t>
      </w:r>
      <w:r w:rsidR="00B66B93">
        <w:rPr>
          <w:rFonts w:ascii="Times New Roman" w:hAnsi="Times New Roman"/>
          <w:bCs/>
          <w:color w:val="000000" w:themeColor="text1"/>
          <w:sz w:val="24"/>
          <w:szCs w:val="24"/>
        </w:rPr>
        <w:t>reduc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CA735C" w:rsidRPr="00B530B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unnecessary movement</w:t>
      </w:r>
      <w:r w:rsidR="00B66B93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CA735C" w:rsidRPr="00B530B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livestock and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to </w:t>
      </w:r>
      <w:r w:rsidR="00CA735C" w:rsidRPr="00B530B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support rural economies </w:t>
      </w:r>
      <w:r w:rsidR="00CA735C" w:rsidRPr="00B530BB">
        <w:rPr>
          <w:rFonts w:ascii="Times New Roman" w:hAnsi="Times New Roman"/>
          <w:bCs/>
          <w:color w:val="000000" w:themeColor="text1"/>
          <w:sz w:val="24"/>
          <w:szCs w:val="24"/>
        </w:rPr>
        <w:fldChar w:fldCharType="begin"/>
      </w:r>
      <w:r w:rsidR="008B2881">
        <w:rPr>
          <w:rFonts w:ascii="Times New Roman" w:hAnsi="Times New Roman"/>
          <w:bCs/>
          <w:color w:val="000000" w:themeColor="text1"/>
          <w:sz w:val="24"/>
          <w:szCs w:val="24"/>
        </w:rPr>
        <w:instrText xml:space="preserve"> ADDIN EN.CITE &lt;EndNote&gt;&lt;Cite&gt;&lt;Author&gt;Defra&lt;/Author&gt;&lt;Year&gt;2021&lt;/Year&gt;&lt;RecNum&gt;258&lt;/RecNum&gt;&lt;DisplayText&gt;(Defra, 2021)&lt;/DisplayText&gt;&lt;record&gt;&lt;rec-number&gt;258&lt;/rec-number&gt;&lt;foreign-keys&gt;&lt;key app="EN" db-id="e5d9x9tfh0a52xexwvlp2w0vef5xzfsp9dz0" timestamp="1620393787"&gt;258&lt;/key&gt;&lt;/foreign-keys&gt;&lt;ref-type name="Web Page"&gt;12&lt;/ref-type&gt;&lt;contributors&gt;&lt;authors&gt;&lt;author&gt;Defra&lt;/author&gt;&lt;/authors&gt;&lt;/contributors&gt;&lt;titles&gt;&lt;title&gt;Improvements to animal welfare in transport&lt;/title&gt;&lt;/titles&gt;&lt;number&gt;May 2021&lt;/number&gt;&lt;dates&gt;&lt;year&gt;2021&lt;/year&gt;&lt;/dates&gt;&lt;pub-location&gt;London&lt;/pub-location&gt;&lt;urls&gt;&lt;related-urls&gt;&lt;url&gt;https://consult.defra.gov.uk/transforming-farm-animal-health-and-welfare-team/improvements-to-animal-welfare-in-transport/ &lt;/url&gt;&lt;/related-urls&gt;&lt;/urls&gt;&lt;/record&gt;&lt;/Cite&gt;&lt;/EndNote&gt;</w:instrText>
      </w:r>
      <w:r w:rsidR="00CA735C" w:rsidRPr="00B530BB">
        <w:rPr>
          <w:rFonts w:ascii="Times New Roman" w:hAnsi="Times New Roman"/>
          <w:bCs/>
          <w:color w:val="000000" w:themeColor="text1"/>
          <w:sz w:val="24"/>
          <w:szCs w:val="24"/>
        </w:rPr>
        <w:fldChar w:fldCharType="separate"/>
      </w:r>
      <w:r w:rsidR="00CA735C" w:rsidRPr="00B530BB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>(Defra, 2021)</w:t>
      </w:r>
      <w:r w:rsidR="00CA735C" w:rsidRPr="00B530BB">
        <w:rPr>
          <w:rFonts w:ascii="Times New Roman" w:hAnsi="Times New Roman"/>
          <w:bCs/>
          <w:color w:val="000000" w:themeColor="text1"/>
          <w:sz w:val="24"/>
          <w:szCs w:val="24"/>
        </w:rPr>
        <w:fldChar w:fldCharType="end"/>
      </w:r>
      <w:r w:rsidR="006D2C5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The ability to meet these objectives</w:t>
      </w:r>
      <w:r w:rsidR="006D2C5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B66B9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makes the </w:t>
      </w:r>
      <w:r w:rsidR="007D0379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c</w:t>
      </w:r>
      <w:r w:rsidR="00CA735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losure of abattoirs across the UK </w:t>
      </w:r>
      <w:r w:rsidR="00B66B93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a </w:t>
      </w:r>
      <w:r w:rsidR="00CA735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matter of </w:t>
      </w:r>
      <w:r w:rsidR="007D0379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public </w:t>
      </w:r>
      <w:r w:rsidR="00CA735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concern </w:t>
      </w:r>
      <w:r w:rsidR="00CA735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fldChar w:fldCharType="begin"/>
      </w:r>
      <w:r w:rsidR="008B2881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instrText xml:space="preserve"> ADDIN EN.CITE &lt;EndNote&gt;&lt;Cite&gt;&lt;Author&gt;Efra&lt;/Author&gt;&lt;Year&gt;2021&lt;/Year&gt;&lt;RecNum&gt;276&lt;/RecNum&gt;&lt;DisplayText&gt;(Efra, 2021, APGAW, 2020)&lt;/DisplayText&gt;&lt;record&gt;&lt;rec-number&gt;276&lt;/rec-number&gt;&lt;foreign-keys&gt;&lt;key app="EN" db-id="e5d9x9tfh0a52xexwvlp2w0vef5xzfsp9dz0" timestamp="1636555802"&gt;276&lt;/key&gt;&lt;/foreign-keys&gt;&lt;ref-type name="Government Document"&gt;46&lt;/ref-type&gt;&lt;contributors&gt;&lt;authors&gt;&lt;author&gt;Efra&lt;/author&gt;&lt;/authors&gt;&lt;secondary-authors&gt;&lt;author&gt;Environment Food and Rural Affairs Committee,&lt;/author&gt;&lt;/secondary-authors&gt;&lt;/contributors&gt;&lt;titles&gt;&lt;title&gt;Moving animals across borders&lt;/title&gt;&lt;/titles&gt;&lt;pages&gt;46&lt;/pages&gt;&lt;volume&gt;First Report of Session 2021-22&lt;/volume&gt;&lt;dates&gt;&lt;year&gt;2021&lt;/year&gt;&lt;/dates&gt;&lt;pub-location&gt;https://committees.parliament.uk/publications/7464/documents/78318/default/ (accessed January 2022)&lt;/pub-location&gt;&lt;publisher&gt; House of Commons (HC 79)&lt;/publisher&gt;&lt;urls&gt;&lt;related-urls&gt;&lt;url&gt;https://committees.parliament.uk/publications/7464/documents/78318/default/ [accessed October 2021]&lt;/url&gt;&lt;/related-urls&gt;&lt;/urls&gt;&lt;custom1&gt;Environment, Food and Rural Affairs Select Committee &lt;/custom1&gt;&lt;/record&gt;&lt;/Cite&gt;&lt;Cite&gt;&lt;Author&gt;APGAW&lt;/Author&gt;&lt;Year&gt;2020&lt;/Year&gt;&lt;RecNum&gt;163&lt;/RecNum&gt;&lt;record&gt;&lt;rec-number&gt;163&lt;/rec-number&gt;&lt;foreign-keys&gt;&lt;key app="EN" db-id="e5d9x9tfh0a52xexwvlp2w0vef5xzfsp9dz0" timestamp="0"&gt;163&lt;/key&gt;&lt;/foreign-keys&gt;&lt;ref-type name="Government Document"&gt;46&lt;/ref-type&gt;&lt;contributors&gt;&lt;authors&gt;&lt;author&gt;APGAW&lt;/author&gt;&lt;/authors&gt;&lt;/contributors&gt;&lt;titles&gt;&lt;title&gt;The Future for Small Abattoirs in the UK.  Report on an inquiry into small red meat abattoir provision&lt;/title&gt;&lt;/titles&gt;&lt;dates&gt;&lt;year&gt;2020&lt;/year&gt;&lt;/dates&gt;&lt;pub-location&gt;https://apgaw.org/wp-content/uploads/2020/06/The-Future-for-Small-Abattoirs-in-the-UK.pdf [Accessed June 2020]&lt;/pub-location&gt;&lt;urls&gt;&lt;/urls&gt;&lt;/record&gt;&lt;/Cite&gt;&lt;/EndNote&gt;</w:instrText>
      </w:r>
      <w:r w:rsidR="00CA735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fldChar w:fldCharType="separate"/>
      </w:r>
      <w:r w:rsidR="00CA735C" w:rsidRPr="00B530BB">
        <w:rPr>
          <w:rFonts w:ascii="Times New Roman" w:eastAsia="Calibri" w:hAnsi="Times New Roman"/>
          <w:noProof/>
          <w:color w:val="000000" w:themeColor="text1"/>
          <w:sz w:val="24"/>
          <w:szCs w:val="24"/>
          <w:lang w:val="en-US"/>
        </w:rPr>
        <w:t>(Efra, 2021, APGAW, 2020)</w:t>
      </w:r>
      <w:r w:rsidR="00CA735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fldChar w:fldCharType="end"/>
      </w:r>
      <w:r w:rsidR="006D2C51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 because </w:t>
      </w:r>
      <w:r w:rsidR="005B5C97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i</w:t>
      </w:r>
      <w:r w:rsidR="00A807FF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t</w:t>
      </w:r>
      <w:r w:rsidR="00CA735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 </w:t>
      </w:r>
      <w:r w:rsidR="00FC531B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can </w:t>
      </w:r>
      <w:r w:rsidR="00CA735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lead to longer and more complex livestock journeys – </w:t>
      </w:r>
      <w:r w:rsidR="006D2C51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with its</w:t>
      </w:r>
      <w:r w:rsidR="00CA735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 associated risks to animal welfare</w:t>
      </w:r>
      <w:r w:rsidR="002D4CFF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, and threaten the viability of the </w:t>
      </w:r>
      <w:r w:rsidR="00D85235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farmer’s private kill</w:t>
      </w:r>
      <w:r w:rsidR="00040C38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 </w:t>
      </w:r>
      <w:r w:rsidR="00370B28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retail </w:t>
      </w:r>
      <w:r w:rsidR="00040C38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(PK</w:t>
      </w:r>
      <w:r w:rsidR="00370B28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R</w:t>
      </w:r>
      <w:r w:rsidR="00040C38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)</w:t>
      </w:r>
      <w:r w:rsidR="00D85235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 enterprises, </w:t>
      </w:r>
      <w:r w:rsidR="00D85235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lastRenderedPageBreak/>
        <w:t xml:space="preserve">and therefore the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rural economy through the readjustment of the </w:t>
      </w:r>
      <w:r w:rsidR="00D85235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size and distribution of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businesses in the </w:t>
      </w:r>
      <w:r w:rsidR="002D4CFF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locally-</w:t>
      </w:r>
      <w:r w:rsidR="00FB2CAB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finished</w:t>
      </w:r>
      <w:r w:rsidR="002D4CFF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 and -slaughtered red meat supply chain</w:t>
      </w:r>
      <w:r w:rsidR="00CA735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.</w:t>
      </w:r>
    </w:p>
    <w:p w14:paraId="6B6BFC89" w14:textId="77777777" w:rsidR="00FC531B" w:rsidRPr="00B530BB" w:rsidRDefault="00FC531B" w:rsidP="002A0139">
      <w:pPr>
        <w:spacing w:line="36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</w:pPr>
    </w:p>
    <w:p w14:paraId="100C0DCD" w14:textId="3D36B69B" w:rsidR="00912652" w:rsidRPr="00B530BB" w:rsidRDefault="00DC7270" w:rsidP="002A0139">
      <w:pPr>
        <w:spacing w:line="36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</w:pPr>
      <w:r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P</w:t>
      </w:r>
      <w:r w:rsidR="00661334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rivate kill </w:t>
      </w:r>
      <w:r w:rsidR="00370B28">
        <w:rPr>
          <w:rFonts w:ascii="Times New Roman" w:eastAsia="Calibri" w:hAnsi="Times New Roman"/>
          <w:sz w:val="24"/>
          <w:szCs w:val="24"/>
          <w:lang w:val="en-US"/>
        </w:rPr>
        <w:t xml:space="preserve">(PK) </w:t>
      </w:r>
      <w:r w:rsidR="00661334" w:rsidRPr="00B530BB">
        <w:rPr>
          <w:rFonts w:ascii="Times New Roman" w:eastAsia="Calibri" w:hAnsi="Times New Roman"/>
          <w:sz w:val="24"/>
          <w:szCs w:val="24"/>
          <w:lang w:val="en-US"/>
        </w:rPr>
        <w:t>service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661334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require a</w:t>
      </w:r>
      <w:r w:rsidR="00740DAB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battoirs </w:t>
      </w:r>
      <w:r w:rsidR="00661334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to </w:t>
      </w:r>
      <w:r w:rsidR="0065361C" w:rsidRPr="00B530BB">
        <w:rPr>
          <w:rFonts w:ascii="Times New Roman" w:eastAsia="Calibri" w:hAnsi="Times New Roman"/>
          <w:sz w:val="24"/>
          <w:szCs w:val="24"/>
          <w:lang w:val="en-US"/>
        </w:rPr>
        <w:t>return to farmer</w:t>
      </w:r>
      <w:r w:rsidR="00324DE3" w:rsidRPr="00B530BB"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65361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the </w:t>
      </w:r>
      <w:r w:rsidR="002465D2" w:rsidRPr="00B530BB">
        <w:rPr>
          <w:rFonts w:ascii="Times New Roman" w:eastAsia="Calibri" w:hAnsi="Times New Roman"/>
          <w:sz w:val="24"/>
          <w:szCs w:val="24"/>
          <w:lang w:val="en-US"/>
        </w:rPr>
        <w:t>carcase</w:t>
      </w:r>
      <w:r w:rsidR="00D20D22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1F7395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(or butchered joints) </w:t>
      </w:r>
      <w:r w:rsidR="00661334" w:rsidRPr="00B530BB">
        <w:rPr>
          <w:rFonts w:ascii="Times New Roman" w:eastAsia="Calibri" w:hAnsi="Times New Roman"/>
          <w:sz w:val="24"/>
          <w:szCs w:val="24"/>
          <w:lang w:val="en-US"/>
        </w:rPr>
        <w:t>from</w:t>
      </w:r>
      <w:r w:rsidR="00740DAB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the same livestock </w:t>
      </w:r>
      <w:r w:rsidR="00F94FE6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 </w:t>
      </w:r>
      <w:r w:rsidR="005253D9" w:rsidRPr="00B530BB">
        <w:rPr>
          <w:rFonts w:ascii="Times New Roman" w:eastAsia="Calibri" w:hAnsi="Times New Roman"/>
          <w:sz w:val="24"/>
          <w:szCs w:val="24"/>
          <w:lang w:val="en-US"/>
        </w:rPr>
        <w:t>farmer</w:t>
      </w:r>
      <w:r w:rsidR="00324DE3" w:rsidRPr="00B530BB"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5253D9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F61F3A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had </w:t>
      </w:r>
      <w:r w:rsidR="005253D9" w:rsidRPr="00B530BB">
        <w:rPr>
          <w:rFonts w:ascii="Times New Roman" w:eastAsia="Calibri" w:hAnsi="Times New Roman"/>
          <w:sz w:val="24"/>
          <w:szCs w:val="24"/>
          <w:lang w:val="en-US"/>
        </w:rPr>
        <w:t>sen</w:t>
      </w:r>
      <w:r w:rsidR="00F94FE6" w:rsidRPr="00B530BB">
        <w:rPr>
          <w:rFonts w:ascii="Times New Roman" w:eastAsia="Calibri" w:hAnsi="Times New Roman"/>
          <w:sz w:val="24"/>
          <w:szCs w:val="24"/>
          <w:lang w:val="en-US"/>
        </w:rPr>
        <w:t>t</w:t>
      </w:r>
      <w:r w:rsidR="005253D9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740DAB" w:rsidRPr="00B530BB">
        <w:rPr>
          <w:rFonts w:ascii="Times New Roman" w:eastAsia="Calibri" w:hAnsi="Times New Roman"/>
          <w:sz w:val="24"/>
          <w:szCs w:val="24"/>
          <w:lang w:val="en-US"/>
        </w:rPr>
        <w:t>for slaughter</w:t>
      </w:r>
      <w:r w:rsidR="00D20D22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.  </w:t>
      </w:r>
      <w:r w:rsidR="00F94FE6" w:rsidRPr="00B530BB">
        <w:rPr>
          <w:rFonts w:ascii="Times New Roman" w:eastAsia="Calibri" w:hAnsi="Times New Roman"/>
          <w:sz w:val="24"/>
          <w:szCs w:val="24"/>
          <w:lang w:val="en-US"/>
        </w:rPr>
        <w:t>T</w:t>
      </w:r>
      <w:r w:rsidR="0070228C">
        <w:rPr>
          <w:rFonts w:ascii="Times New Roman" w:eastAsia="Calibri" w:hAnsi="Times New Roman"/>
          <w:sz w:val="24"/>
          <w:szCs w:val="24"/>
          <w:lang w:val="en-US"/>
        </w:rPr>
        <w:t>o</w:t>
      </w:r>
      <w:r w:rsidR="005253D9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DB7A85">
        <w:rPr>
          <w:rFonts w:ascii="Times New Roman" w:eastAsia="Calibri" w:hAnsi="Times New Roman"/>
          <w:sz w:val="24"/>
          <w:szCs w:val="24"/>
          <w:lang w:val="en-US"/>
        </w:rPr>
        <w:t xml:space="preserve">honour this </w:t>
      </w:r>
      <w:r w:rsidR="00DA4F35" w:rsidRPr="00B530BB">
        <w:rPr>
          <w:rFonts w:ascii="Times New Roman" w:eastAsia="Calibri" w:hAnsi="Times New Roman"/>
          <w:sz w:val="24"/>
          <w:szCs w:val="24"/>
          <w:lang w:val="en-US"/>
        </w:rPr>
        <w:t>guarantee</w:t>
      </w:r>
      <w:r w:rsidR="00047222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5253D9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abattoirs </w:t>
      </w:r>
      <w:r w:rsidR="00DB7A85">
        <w:rPr>
          <w:rFonts w:ascii="Times New Roman" w:eastAsia="Calibri" w:hAnsi="Times New Roman"/>
          <w:sz w:val="24"/>
          <w:szCs w:val="24"/>
          <w:lang w:val="en-US"/>
        </w:rPr>
        <w:t xml:space="preserve">need </w:t>
      </w:r>
      <w:r w:rsidR="005253D9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to </w:t>
      </w:r>
      <w:r w:rsidR="009C6D6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establish </w:t>
      </w:r>
      <w:r w:rsidR="00984A2B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robust </w:t>
      </w:r>
      <w:r w:rsidR="00C0243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traceability </w:t>
      </w:r>
      <w:r w:rsidR="009C6D6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protocols </w:t>
      </w:r>
      <w:r w:rsidR="00F61F3A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throughout their </w:t>
      </w:r>
      <w:r w:rsidR="00984A2B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processing line, from </w:t>
      </w:r>
      <w:r w:rsidR="00F61F3A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taking </w:t>
      </w:r>
      <w:r w:rsidR="00324DE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delivery of </w:t>
      </w:r>
      <w:r w:rsidR="00984A2B" w:rsidRPr="00B530BB">
        <w:rPr>
          <w:rFonts w:ascii="Times New Roman" w:eastAsia="Calibri" w:hAnsi="Times New Roman"/>
          <w:sz w:val="24"/>
          <w:szCs w:val="24"/>
          <w:lang w:val="en-US"/>
        </w:rPr>
        <w:t>livestock</w:t>
      </w:r>
      <w:r w:rsidR="00F94FE6" w:rsidRPr="00B530BB">
        <w:rPr>
          <w:rFonts w:ascii="Times New Roman" w:eastAsia="Calibri" w:hAnsi="Times New Roman"/>
          <w:sz w:val="24"/>
          <w:szCs w:val="24"/>
          <w:lang w:val="en-US"/>
        </w:rPr>
        <w:t>,</w:t>
      </w:r>
      <w:r w:rsidR="00984A2B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through </w:t>
      </w:r>
      <w:r w:rsidR="00324DE3" w:rsidRPr="00B530BB">
        <w:rPr>
          <w:rFonts w:ascii="Times New Roman" w:eastAsia="Calibri" w:hAnsi="Times New Roman"/>
          <w:sz w:val="24"/>
          <w:szCs w:val="24"/>
          <w:lang w:val="en-US"/>
        </w:rPr>
        <w:t>slaughtering</w:t>
      </w:r>
      <w:r w:rsidR="00F61F3A" w:rsidRPr="00B530BB">
        <w:rPr>
          <w:rFonts w:ascii="Times New Roman" w:eastAsia="Calibri" w:hAnsi="Times New Roman"/>
          <w:sz w:val="24"/>
          <w:szCs w:val="24"/>
          <w:lang w:val="en-US"/>
        </w:rPr>
        <w:t>, butchering</w:t>
      </w:r>
      <w:r w:rsidR="00F94FE6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and</w:t>
      </w:r>
      <w:r w:rsidR="00324DE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processing</w:t>
      </w:r>
      <w:r w:rsidR="00F94FE6" w:rsidRPr="00B530BB">
        <w:rPr>
          <w:rFonts w:ascii="Times New Roman" w:eastAsia="Calibri" w:hAnsi="Times New Roman"/>
          <w:sz w:val="24"/>
          <w:szCs w:val="24"/>
          <w:lang w:val="en-US"/>
        </w:rPr>
        <w:t>,</w:t>
      </w:r>
      <w:r w:rsidR="00324DE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and </w:t>
      </w:r>
      <w:r w:rsidR="00F61F3A" w:rsidRPr="00B530BB"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9C6D63" w:rsidRPr="00B530BB">
        <w:rPr>
          <w:rFonts w:ascii="Times New Roman" w:eastAsia="Calibri" w:hAnsi="Times New Roman"/>
          <w:sz w:val="24"/>
          <w:szCs w:val="24"/>
          <w:lang w:val="en-US"/>
        </w:rPr>
        <w:t>torage</w:t>
      </w:r>
      <w:r w:rsidR="00370B28">
        <w:rPr>
          <w:rFonts w:ascii="Times New Roman" w:eastAsia="Calibri" w:hAnsi="Times New Roman"/>
          <w:sz w:val="24"/>
          <w:szCs w:val="24"/>
          <w:lang w:val="en-US"/>
        </w:rPr>
        <w:t xml:space="preserve"> of the carcase</w:t>
      </w:r>
      <w:r w:rsidR="009C6D63" w:rsidRPr="00B530BB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F61F3A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 </w:t>
      </w:r>
      <w:r w:rsidR="00370B28">
        <w:rPr>
          <w:rFonts w:ascii="Times New Roman" w:eastAsia="Calibri" w:hAnsi="Times New Roman"/>
          <w:sz w:val="24"/>
          <w:szCs w:val="24"/>
          <w:lang w:val="en-US"/>
        </w:rPr>
        <w:t xml:space="preserve">As this </w:t>
      </w:r>
      <w:r w:rsidR="009C6D63" w:rsidRPr="00B530BB">
        <w:rPr>
          <w:rFonts w:ascii="Times New Roman" w:eastAsia="Calibri" w:hAnsi="Times New Roman"/>
          <w:sz w:val="24"/>
          <w:szCs w:val="24"/>
          <w:lang w:val="en-US"/>
        </w:rPr>
        <w:t>impose</w:t>
      </w:r>
      <w:r w:rsidR="007D516D" w:rsidRPr="00B530BB"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9C6D6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additional costs </w:t>
      </w:r>
      <w:r w:rsidR="00984A2B" w:rsidRPr="00B530BB">
        <w:rPr>
          <w:rFonts w:ascii="Times New Roman" w:eastAsia="Calibri" w:hAnsi="Times New Roman"/>
          <w:sz w:val="24"/>
          <w:szCs w:val="24"/>
          <w:lang w:val="en-US"/>
        </w:rPr>
        <w:t>and</w:t>
      </w:r>
      <w:r w:rsidR="00F61F3A" w:rsidRPr="00B530BB">
        <w:rPr>
          <w:rFonts w:ascii="Times New Roman" w:eastAsia="Calibri" w:hAnsi="Times New Roman"/>
          <w:sz w:val="24"/>
          <w:szCs w:val="24"/>
          <w:lang w:val="en-US"/>
        </w:rPr>
        <w:t>,</w:t>
      </w:r>
      <w:r w:rsidR="005253D9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critically</w:t>
      </w:r>
      <w:r w:rsidR="00F61F3A" w:rsidRPr="00B530BB">
        <w:rPr>
          <w:rFonts w:ascii="Times New Roman" w:eastAsia="Calibri" w:hAnsi="Times New Roman"/>
          <w:sz w:val="24"/>
          <w:szCs w:val="24"/>
          <w:lang w:val="en-US"/>
        </w:rPr>
        <w:t>,</w:t>
      </w:r>
      <w:r w:rsidR="005253D9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9C6D63" w:rsidRPr="00B530BB">
        <w:rPr>
          <w:rFonts w:ascii="Times New Roman" w:eastAsia="Calibri" w:hAnsi="Times New Roman"/>
          <w:sz w:val="24"/>
          <w:szCs w:val="24"/>
          <w:lang w:val="en-US"/>
        </w:rPr>
        <w:t>restrict</w:t>
      </w:r>
      <w:r w:rsidR="00324DE3" w:rsidRPr="00B530BB"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9C6D6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370B28">
        <w:rPr>
          <w:rFonts w:ascii="Times New Roman" w:eastAsia="Calibri" w:hAnsi="Times New Roman"/>
          <w:sz w:val="24"/>
          <w:szCs w:val="24"/>
          <w:lang w:val="en-US"/>
        </w:rPr>
        <w:t xml:space="preserve">daily and </w:t>
      </w:r>
      <w:r w:rsidR="00FF170E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annual </w:t>
      </w:r>
      <w:r w:rsidR="009C6D63" w:rsidRPr="00B530BB">
        <w:rPr>
          <w:rFonts w:ascii="Times New Roman" w:eastAsia="Calibri" w:hAnsi="Times New Roman"/>
          <w:sz w:val="24"/>
          <w:szCs w:val="24"/>
          <w:lang w:val="en-US"/>
        </w:rPr>
        <w:t>throughput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r w:rsidR="00040C38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PK</w:t>
      </w:r>
      <w:r w:rsidR="00047222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 </w:t>
      </w:r>
      <w:r w:rsidR="002434E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has become a specialist service </w:t>
      </w:r>
      <w:r w:rsidR="005253D9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p</w:t>
      </w:r>
      <w:r w:rsidR="00D20D22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redominately </w:t>
      </w:r>
      <w:r w:rsidR="00FF170E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offered </w:t>
      </w:r>
      <w:r w:rsidR="00047222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by </w:t>
      </w:r>
      <w:r w:rsidR="00DA4F35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smaller abattoirs </w:t>
      </w:r>
      <w:r w:rsidR="00DA4F35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PEVuZE5vdGU+PENpdGU+PEF1dGhvcj5BUEdBVzwvQXV0aG9yPjxZZWFyPjIwMjA8L1llYXI+PFJl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</w:fldData>
        </w:fldChar>
      </w:r>
      <w:r w:rsidR="008B2881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instrText xml:space="preserve"> ADDIN EN.CITE </w:instrText>
      </w:r>
      <w:r w:rsidR="008B2881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PEVuZE5vdGU+PENpdGU+PEF1dGhvcj5BUEdBVzwvQXV0aG9yPjxZZWFyPjIwMjA8L1llYXI+PFJl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</w:fldData>
        </w:fldChar>
      </w:r>
      <w:r w:rsidR="008B2881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instrText xml:space="preserve"> ADDIN EN.CITE.DATA </w:instrText>
      </w:r>
      <w:r w:rsidR="008B2881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</w:r>
      <w:r w:rsidR="008B2881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fldChar w:fldCharType="end"/>
      </w:r>
      <w:r w:rsidR="00DA4F35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</w:r>
      <w:r w:rsidR="00DA4F35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fldChar w:fldCharType="separate"/>
      </w:r>
      <w:r w:rsidR="00D20D22" w:rsidRPr="00B530BB">
        <w:rPr>
          <w:rFonts w:ascii="Times New Roman" w:eastAsia="Calibri" w:hAnsi="Times New Roman"/>
          <w:noProof/>
          <w:color w:val="000000" w:themeColor="text1"/>
          <w:sz w:val="24"/>
          <w:szCs w:val="24"/>
          <w:lang w:val="en-US"/>
        </w:rPr>
        <w:t>(APGAW, 2020, Franks and Peden, 2021, Efra, 2021, Kennard and Young, 2018)</w:t>
      </w:r>
      <w:r w:rsidR="00DA4F35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fldChar w:fldCharType="end"/>
      </w:r>
      <w:r w:rsidR="0065361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.</w:t>
      </w:r>
    </w:p>
    <w:p w14:paraId="2BEEAA65" w14:textId="77777777" w:rsidR="00912652" w:rsidRPr="00B530BB" w:rsidRDefault="00912652" w:rsidP="002A0139">
      <w:pPr>
        <w:spacing w:line="36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</w:pPr>
    </w:p>
    <w:p w14:paraId="2BF0954E" w14:textId="5C6492F3" w:rsidR="00DC7270" w:rsidRPr="00B530BB" w:rsidRDefault="00FC531B" w:rsidP="002A0139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However, between 2001 and 2017, the number of smaller abattoirs in the UK fell from 260 to 170 </w:t>
      </w:r>
      <w:r w:rsidR="00DC727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fldChar w:fldCharType="begin"/>
      </w:r>
      <w:r w:rsidR="008B2881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instrText xml:space="preserve"> ADDIN EN.CITE &lt;EndNote&gt;&lt;Cite&gt;&lt;Author&gt;APGAW&lt;/Author&gt;&lt;Year&gt;2020&lt;/Year&gt;&lt;RecNum&gt;163&lt;/RecNum&gt;&lt;Suffix&gt;: p 11&lt;/Suffix&gt;&lt;DisplayText&gt;(APGAW, 2020: p 11)&lt;/DisplayText&gt;&lt;record&gt;&lt;rec-number&gt;163&lt;/rec-number&gt;&lt;foreign-keys&gt;&lt;key app="EN" db-id="e5d9x9tfh0a52xexwvlp2w0vef5xzfsp9dz0" timestamp="0"&gt;163&lt;/key&gt;&lt;/foreign-keys&gt;&lt;ref-type name="Government Document"&gt;46&lt;/ref-type&gt;&lt;contributors&gt;&lt;authors&gt;&lt;author&gt;APGAW&lt;/author&gt;&lt;/authors&gt;&lt;/contributors&gt;&lt;titles&gt;&lt;title&gt;The Future for Small Abattoirs in the UK.  Report on an inquiry into small red meat abattoir provision&lt;/title&gt;&lt;/titles&gt;&lt;dates&gt;&lt;year&gt;2020&lt;/year&gt;&lt;/dates&gt;&lt;pub-location&gt;https://apgaw.org/wp-content/uploads/2020/06/The-Future-for-Small-Abattoirs-in-the-UK.pdf [Accessed June 2020]&lt;/pub-location&gt;&lt;urls&gt;&lt;/urls&gt;&lt;/record&gt;&lt;/Cite&gt;&lt;/EndNote&gt;</w:instrText>
      </w:r>
      <w:r w:rsidR="00DC727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fldChar w:fldCharType="separate"/>
      </w:r>
      <w:r w:rsidRPr="00B530BB">
        <w:rPr>
          <w:rFonts w:ascii="Times New Roman" w:eastAsiaTheme="minorEastAsia" w:hAnsi="Times New Roman"/>
          <w:noProof/>
          <w:color w:val="000000" w:themeColor="text1"/>
          <w:kern w:val="24"/>
          <w:sz w:val="24"/>
          <w:szCs w:val="24"/>
        </w:rPr>
        <w:t>(APGAW, 2020: p 11)</w:t>
      </w:r>
      <w:r w:rsidR="00DC727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fldChar w:fldCharType="end"/>
      </w:r>
      <w:r w:rsidR="00DC727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.</w:t>
      </w:r>
      <w:r w:rsidR="00DC7270" w:rsidRPr="00B530BB">
        <w:rPr>
          <w:rStyle w:val="FootnoteReference"/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footnoteReference w:id="1"/>
      </w:r>
      <w:r w:rsidR="00DC727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 </w:t>
      </w:r>
      <w:r w:rsidR="00A80983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M</w:t>
      </w:r>
      <w:r w:rsidR="00DC727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ore recent research undertaken for this study shows that </w:t>
      </w:r>
      <w:r w:rsidR="009B490F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a further 13 </w:t>
      </w:r>
      <w:r w:rsidR="002434EC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of the 160 </w:t>
      </w:r>
      <w:r w:rsidR="00040C3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PK</w:t>
      </w:r>
      <w:r w:rsidR="009B490F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abattoirs working in </w:t>
      </w:r>
      <w:r w:rsidR="00DC727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January 2019 </w:t>
      </w:r>
      <w:r w:rsidR="009B490F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closed in the 20 months to August 2020 </w:t>
      </w:r>
      <w:r w:rsidR="00DC727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(</w:t>
      </w:r>
      <w:r w:rsidR="001E2056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some </w:t>
      </w:r>
      <w:r w:rsidR="00DC727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9% of the underlying population).</w:t>
      </w:r>
      <w:r w:rsidR="002434EC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 </w:t>
      </w:r>
      <w:r w:rsidR="007D0379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Our</w:t>
      </w:r>
      <w:r w:rsidR="00B23652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survey of </w:t>
      </w:r>
      <w:r w:rsidR="00040C3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PK</w:t>
      </w:r>
      <w:r w:rsidR="001E2056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R</w:t>
      </w:r>
      <w:r w:rsidR="00B23652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farmers completed at the same time showed that </w:t>
      </w:r>
      <w:r w:rsidR="00DF3505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41% of </w:t>
      </w:r>
      <w:r w:rsidR="00B23652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respondents</w:t>
      </w:r>
      <w:r w:rsidR="00DF3505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</w:t>
      </w:r>
      <w:r w:rsidR="00B23652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were without a</w:t>
      </w:r>
      <w:r w:rsidR="00DF3505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viable alternative abattoir if the one they were currently using was to close </w:t>
      </w:r>
      <w:r w:rsidR="00DF3505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fldChar w:fldCharType="begin"/>
      </w:r>
      <w:r w:rsidR="008B2881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instrText xml:space="preserve"> ADDIN EN.CITE &lt;EndNote&gt;&lt;Cite&gt;&lt;Author&gt;Franks&lt;/Author&gt;&lt;Year&gt;2021&lt;/Year&gt;&lt;RecNum&gt;272&lt;/RecNum&gt;&lt;DisplayText&gt;(Franks and Peden, 2021)&lt;/DisplayText&gt;&lt;record&gt;&lt;rec-number&gt;272&lt;/rec-number&gt;&lt;foreign-keys&gt;&lt;key app="EN" db-id="e5d9x9tfh0a52xexwvlp2w0vef5xzfsp9dz0" timestamp="1630080862"&gt;272&lt;/key&gt;&lt;/foreign-keys&gt;&lt;ref-type name="Report"&gt;27&lt;/ref-type&gt;&lt;contributors&gt;&lt;authors&gt;&lt;author&gt;Franks, J. R.,&lt;/author&gt;&lt;author&gt;Peden, R.&lt;/author&gt;&lt;/authors&gt;&lt;tertiary-authors&gt;&lt;author&gt;The Princes Trust&lt;/author&gt;&lt;/tertiary-authors&gt;&lt;/contributors&gt;&lt;titles&gt;&lt;title&gt; An economic analysis of the role and viability of small abattoirs in the red meat supply chain&lt;/title&gt;&lt;/titles&gt;&lt;dates&gt;&lt;year&gt;2021&lt;/year&gt;&lt;/dates&gt;&lt;pub-location&gt;https://www.princescountrysidefund.org.uk/our-impact/our-research/all-on-the-table/ [Accessed May 2022]&lt;/pub-location&gt;&lt;urls&gt;&lt;related-urls&gt;&lt;url&gt;https://www.princescountrysidefund.org.uk/our-impact/our-research/all-on-the-table/ (accessed August 2021)&lt;/url&gt;&lt;/related-urls&gt;&lt;/urls&gt;&lt;/record&gt;&lt;/Cite&gt;&lt;/EndNote&gt;</w:instrText>
      </w:r>
      <w:r w:rsidR="00DF3505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fldChar w:fldCharType="separate"/>
      </w:r>
      <w:r w:rsidR="00DF3505" w:rsidRPr="00B530BB">
        <w:rPr>
          <w:rFonts w:ascii="Times New Roman" w:eastAsiaTheme="minorEastAsia" w:hAnsi="Times New Roman"/>
          <w:noProof/>
          <w:color w:val="000000" w:themeColor="text1"/>
          <w:kern w:val="24"/>
          <w:sz w:val="24"/>
          <w:szCs w:val="24"/>
        </w:rPr>
        <w:t>(Franks and Peden, 2021)</w:t>
      </w:r>
      <w:r w:rsidR="00DF3505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fldChar w:fldCharType="end"/>
      </w:r>
      <w:r w:rsidR="007D0379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.  </w:t>
      </w:r>
      <w:r w:rsidR="001E2056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F</w:t>
      </w:r>
      <w:r w:rsidR="002434EC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u</w:t>
      </w:r>
      <w:r w:rsidR="002434E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rther closures </w:t>
      </w:r>
      <w:r w:rsidR="001E2056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therefore </w:t>
      </w:r>
      <w:r w:rsidR="002434E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threaten </w:t>
      </w:r>
      <w:r w:rsidR="001E2056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not only </w:t>
      </w:r>
      <w:r w:rsidR="002434E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the</w:t>
      </w:r>
      <w:r w:rsidR="00A05506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se </w:t>
      </w:r>
      <w:r w:rsidR="007D0379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farm </w:t>
      </w:r>
      <w:r w:rsidR="00A05506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businesses </w:t>
      </w:r>
      <w:r w:rsidR="001E2056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but also the </w:t>
      </w:r>
      <w:r w:rsidR="002434E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viability of </w:t>
      </w:r>
      <w:r w:rsidR="001E2056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all businesses in </w:t>
      </w:r>
      <w:r w:rsidR="002434EC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th</w:t>
      </w:r>
      <w:r w:rsidR="00912652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e local </w:t>
      </w:r>
      <w:r w:rsidR="001E2056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red meat </w:t>
      </w:r>
      <w:r w:rsidR="00912652" w:rsidRPr="00B530BB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supply chain </w:t>
      </w:r>
      <w:r w:rsidR="001E2056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>which depend on this service</w:t>
      </w:r>
      <w:r w:rsidR="002434E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2434EC" w:rsidRPr="00B530BB">
        <w:rPr>
          <w:rFonts w:ascii="Times New Roman" w:eastAsia="Calibri" w:hAnsi="Times New Roman"/>
          <w:sz w:val="24"/>
          <w:szCs w:val="24"/>
          <w:lang w:val="en-US"/>
        </w:rPr>
        <w:fldChar w:fldCharType="begin"/>
      </w:r>
      <w:r w:rsidR="008B2881">
        <w:rPr>
          <w:rFonts w:ascii="Times New Roman" w:eastAsia="Calibri" w:hAnsi="Times New Roman"/>
          <w:sz w:val="24"/>
          <w:szCs w:val="24"/>
          <w:lang w:val="en-US"/>
        </w:rPr>
        <w:instrText xml:space="preserve"> ADDIN EN.CITE &lt;EndNote&gt;&lt;Cite&gt;&lt;Author&gt;APGAW&lt;/Author&gt;&lt;Year&gt;2020&lt;/Year&gt;&lt;RecNum&gt;163&lt;/RecNum&gt;&lt;DisplayText&gt;(APGAW, 2020, Efra, 2021)&lt;/DisplayText&gt;&lt;record&gt;&lt;rec-number&gt;163&lt;/rec-number&gt;&lt;foreign-keys&gt;&lt;key app="EN" db-id="e5d9x9tfh0a52xexwvlp2w0vef5xzfsp9dz0" timestamp="0"&gt;163&lt;/key&gt;&lt;/foreign-keys&gt;&lt;ref-type name="Government Document"&gt;46&lt;/ref-type&gt;&lt;contributors&gt;&lt;authors&gt;&lt;author&gt;APGAW&lt;/author&gt;&lt;/authors&gt;&lt;/contributors&gt;&lt;titles&gt;&lt;title&gt;The Future for Small Abattoirs in the UK.  Report on an inquiry into small red meat abattoir provision&lt;/title&gt;&lt;/titles&gt;&lt;dates&gt;&lt;year&gt;2020&lt;/year&gt;&lt;/dates&gt;&lt;pub-location&gt;https://apgaw.org/wp-content/uploads/2020/06/The-Future-for-Small-Abattoirs-in-the-UK.pdf [Accessed June 2020]&lt;/pub-location&gt;&lt;urls&gt;&lt;/urls&gt;&lt;/record&gt;&lt;/Cite&gt;&lt;Cite&gt;&lt;Author&gt;Efra&lt;/Author&gt;&lt;Year&gt;2021&lt;/Year&gt;&lt;RecNum&gt;276&lt;/RecNum&gt;&lt;record&gt;&lt;rec-number&gt;276&lt;/rec-number&gt;&lt;foreign-keys&gt;&lt;key app="EN" db-id="e5d9x9tfh0a52xexwvlp2w0vef5xzfsp9dz0" timestamp="1636555802"&gt;276&lt;/key&gt;&lt;/foreign-keys&gt;&lt;ref-type name="Government Document"&gt;46&lt;/ref-type&gt;&lt;contributors&gt;&lt;authors&gt;&lt;author&gt;Efra&lt;/author&gt;&lt;/authors&gt;&lt;secondary-authors&gt;&lt;author&gt;Environment Food and Rural Affairs Committee,&lt;/author&gt;&lt;/secondary-authors&gt;&lt;/contributors&gt;&lt;titles&gt;&lt;title&gt;Moving animals across borders&lt;/title&gt;&lt;/titles&gt;&lt;pages&gt;46&lt;/pages&gt;&lt;volume&gt;First Report of Session 2021-22&lt;/volume&gt;&lt;dates&gt;&lt;year&gt;2021&lt;/year&gt;&lt;/dates&gt;&lt;pub-location&gt;https://committees.parliament.uk/publications/7464/documents/78318/default/ (accessed January 2022)&lt;/pub-location&gt;&lt;publisher&gt; House of Commons (HC 79)&lt;/publisher&gt;&lt;urls&gt;&lt;related-urls&gt;&lt;url&gt;https://committees.parliament.uk/publications/7464/documents/78318/default/ [accessed October 2021]&lt;/url&gt;&lt;/related-urls&gt;&lt;/urls&gt;&lt;custom1&gt;Environment, Food and Rural Affairs Select Committee &lt;/custom1&gt;&lt;/record&gt;&lt;/Cite&gt;&lt;/EndNote&gt;</w:instrText>
      </w:r>
      <w:r w:rsidR="002434EC" w:rsidRPr="00B530BB">
        <w:rPr>
          <w:rFonts w:ascii="Times New Roman" w:eastAsia="Calibri" w:hAnsi="Times New Roman"/>
          <w:sz w:val="24"/>
          <w:szCs w:val="24"/>
          <w:lang w:val="en-US"/>
        </w:rPr>
        <w:fldChar w:fldCharType="separate"/>
      </w:r>
      <w:r w:rsidR="002434EC" w:rsidRPr="00B530BB">
        <w:rPr>
          <w:rFonts w:ascii="Times New Roman" w:eastAsia="Calibri" w:hAnsi="Times New Roman"/>
          <w:noProof/>
          <w:sz w:val="24"/>
          <w:szCs w:val="24"/>
          <w:lang w:val="en-US"/>
        </w:rPr>
        <w:t>(APGAW, 2020, Efra, 2021)</w:t>
      </w:r>
      <w:r w:rsidR="002434EC" w:rsidRPr="00B530BB">
        <w:rPr>
          <w:rFonts w:ascii="Times New Roman" w:eastAsia="Calibri" w:hAnsi="Times New Roman"/>
          <w:sz w:val="24"/>
          <w:szCs w:val="24"/>
          <w:lang w:val="en-US"/>
        </w:rPr>
        <w:fldChar w:fldCharType="end"/>
      </w:r>
      <w:r w:rsidR="00DF3505" w:rsidRPr="00B530BB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753EDF7C" w14:textId="66EB486D" w:rsidR="00DC35F0" w:rsidRPr="00B530BB" w:rsidRDefault="00DC35F0" w:rsidP="002A0139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5E9EC66B" w14:textId="30E4CC8A" w:rsidR="009A02CE" w:rsidRPr="00B530BB" w:rsidRDefault="00661334" w:rsidP="002A0139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These concerns have led to </w:t>
      </w:r>
      <w:r w:rsidRPr="00B530BB">
        <w:rPr>
          <w:rFonts w:ascii="Times New Roman" w:eastAsiaTheme="minorEastAsia" w:hAnsi="Times New Roman"/>
          <w:kern w:val="24"/>
          <w:sz w:val="24"/>
          <w:szCs w:val="24"/>
        </w:rPr>
        <w:t>calls for</w:t>
      </w:r>
      <w:r w:rsidRPr="00B530BB">
        <w:rPr>
          <w:rFonts w:ascii="Times New Roman" w:hAnsi="Times New Roman"/>
          <w:bCs/>
          <w:sz w:val="24"/>
          <w:szCs w:val="24"/>
        </w:rPr>
        <w:t xml:space="preserve"> abattoirs to be </w:t>
      </w:r>
      <w:r w:rsidRPr="00B530BB">
        <w:rPr>
          <w:rFonts w:ascii="Times New Roman" w:eastAsiaTheme="minorEastAsia" w:hAnsi="Times New Roman"/>
          <w:kern w:val="24"/>
          <w:sz w:val="24"/>
          <w:szCs w:val="24"/>
        </w:rPr>
        <w:t xml:space="preserve">treated as “a national strategic asset” </w:t>
      </w:r>
      <w:r w:rsidRPr="00B530BB">
        <w:rPr>
          <w:rFonts w:ascii="Times New Roman" w:eastAsiaTheme="minorEastAsia" w:hAnsi="Times New Roman"/>
          <w:kern w:val="24"/>
          <w:sz w:val="24"/>
          <w:szCs w:val="24"/>
        </w:rPr>
        <w:fldChar w:fldCharType="begin"/>
      </w:r>
      <w:r w:rsidRPr="00B530BB">
        <w:rPr>
          <w:rFonts w:ascii="Times New Roman" w:eastAsiaTheme="minorEastAsia" w:hAnsi="Times New Roman"/>
          <w:kern w:val="24"/>
          <w:sz w:val="24"/>
          <w:szCs w:val="24"/>
        </w:rPr>
        <w:instrText xml:space="preserve"> ADDIN EN.CITE &lt;EndNote&gt;&lt;Cite&gt;&lt;Author&gt;Efra&lt;/Author&gt;&lt;Year&gt;2021&lt;/Year&gt;&lt;RecNum&gt;276&lt;/RecNum&gt;&lt;Suffix&gt;: p 4&lt;/Suffix&gt;&lt;DisplayText&gt;(Efra, 2021: p 4)&lt;/DisplayText&gt;&lt;record&gt;&lt;rec-number&gt;276&lt;/rec-number&gt;&lt;foreign-keys&gt;&lt;key app="EN" db-id="e5d9x9tfh0a52xexwvlp2w0vef5xzfsp9dz0" timestamp="1636555802"&gt;276&lt;/key&gt;&lt;/foreign-keys&gt;&lt;ref-type name="Government Document"&gt;46&lt;/ref-type&gt;&lt;contributors&gt;&lt;authors&gt;&lt;author&gt;Efra&lt;/author&gt;&lt;/authors&gt;&lt;secondary-authors&gt;&lt;author&gt;Environment Food and Rural Affairs Committee,&lt;/author&gt;&lt;/secondary-authors&gt;&lt;/contributors&gt;&lt;titles&gt;&lt;title&gt;Moving animals across borders&lt;/title&gt;&lt;/titles&gt;&lt;pages&gt;46&lt;/pages&gt;&lt;volume&gt;First Report of Session 2021-22&lt;/volume&gt;&lt;dates&gt;&lt;year&gt;2021&lt;/year&gt;&lt;/dates&gt;&lt;pub-location&gt;https://committees.parliament.uk/publications/7464/documents/78318/default/ (accessed January 2022)&lt;/pub-location&gt;&lt;publisher&gt; House of Commons (HC 79)&lt;/publisher&gt;&lt;urls&gt;&lt;related-urls&gt;&lt;url&gt;https://committees.parliament.uk/publications/7464/documents/78318/default/ [accessed October 2021]&lt;/url&gt;&lt;/related-urls&gt;&lt;/urls&gt;&lt;custom1&gt;Environment, Food and Rural Affairs Select Committee &lt;/custom1&gt;&lt;/record&gt;&lt;/Cite&gt;&lt;/EndNote&gt;</w:instrText>
      </w:r>
      <w:r w:rsidRPr="00B530BB">
        <w:rPr>
          <w:rFonts w:ascii="Times New Roman" w:eastAsiaTheme="minorEastAsia" w:hAnsi="Times New Roman"/>
          <w:kern w:val="24"/>
          <w:sz w:val="24"/>
          <w:szCs w:val="24"/>
        </w:rPr>
        <w:fldChar w:fldCharType="separate"/>
      </w:r>
      <w:r w:rsidRPr="00B530BB">
        <w:rPr>
          <w:rFonts w:ascii="Times New Roman" w:eastAsiaTheme="minorEastAsia" w:hAnsi="Times New Roman"/>
          <w:noProof/>
          <w:kern w:val="24"/>
          <w:sz w:val="24"/>
          <w:szCs w:val="24"/>
        </w:rPr>
        <w:t>(Efra, 2021: p 4)</w:t>
      </w:r>
      <w:r w:rsidRPr="00B530BB">
        <w:rPr>
          <w:rFonts w:ascii="Times New Roman" w:eastAsiaTheme="minorEastAsia" w:hAnsi="Times New Roman"/>
          <w:kern w:val="24"/>
          <w:sz w:val="24"/>
          <w:szCs w:val="24"/>
        </w:rPr>
        <w:fldChar w:fldCharType="end"/>
      </w:r>
      <w:r w:rsidRPr="00B530BB">
        <w:rPr>
          <w:rFonts w:ascii="Times New Roman" w:eastAsiaTheme="minorEastAsia" w:hAnsi="Times New Roman"/>
          <w:kern w:val="24"/>
          <w:sz w:val="24"/>
          <w:szCs w:val="24"/>
        </w:rPr>
        <w:t xml:space="preserve">.  </w:t>
      </w:r>
      <w:r w:rsidR="00912652" w:rsidRPr="00B530BB">
        <w:rPr>
          <w:rFonts w:ascii="Times New Roman" w:eastAsiaTheme="minorEastAsia" w:hAnsi="Times New Roman"/>
          <w:kern w:val="24"/>
          <w:sz w:val="24"/>
          <w:szCs w:val="24"/>
        </w:rPr>
        <w:t>But alt</w:t>
      </w:r>
      <w:r w:rsidR="00A807FF" w:rsidRPr="00B530BB">
        <w:rPr>
          <w:rFonts w:ascii="Times New Roman" w:eastAsiaTheme="minorEastAsia" w:hAnsi="Times New Roman"/>
          <w:kern w:val="24"/>
          <w:sz w:val="24"/>
          <w:szCs w:val="24"/>
        </w:rPr>
        <w:t xml:space="preserve">hough </w:t>
      </w:r>
      <w:r w:rsidRPr="00B530BB">
        <w:rPr>
          <w:rFonts w:ascii="Times New Roman" w:eastAsiaTheme="minorEastAsia" w:hAnsi="Times New Roman"/>
          <w:kern w:val="24"/>
          <w:sz w:val="24"/>
          <w:szCs w:val="24"/>
        </w:rPr>
        <w:t xml:space="preserve">abattoirs </w:t>
      </w:r>
      <w:r w:rsidR="00912652" w:rsidRPr="00B530BB">
        <w:rPr>
          <w:rFonts w:ascii="Times New Roman" w:eastAsiaTheme="minorEastAsia" w:hAnsi="Times New Roman"/>
          <w:kern w:val="24"/>
          <w:sz w:val="24"/>
          <w:szCs w:val="24"/>
        </w:rPr>
        <w:t>are</w:t>
      </w:r>
      <w:r w:rsidR="00A807FF" w:rsidRPr="00B530BB">
        <w:rPr>
          <w:rFonts w:ascii="Times New Roman" w:eastAsiaTheme="minorEastAsia" w:hAnsi="Times New Roman"/>
          <w:kern w:val="24"/>
          <w:sz w:val="24"/>
          <w:szCs w:val="24"/>
        </w:rPr>
        <w:t xml:space="preserve"> included in the list of “ancillary” businesses eligible for support in the Agriculture Bill, </w:t>
      </w:r>
      <w:r w:rsidRPr="00B530BB">
        <w:rPr>
          <w:rFonts w:ascii="Times New Roman" w:eastAsiaTheme="minorEastAsia" w:hAnsi="Times New Roman"/>
          <w:kern w:val="24"/>
          <w:sz w:val="24"/>
          <w:szCs w:val="24"/>
        </w:rPr>
        <w:t xml:space="preserve">no attempt </w:t>
      </w:r>
      <w:r w:rsidR="007D0379" w:rsidRPr="00B530BB">
        <w:rPr>
          <w:rFonts w:ascii="Times New Roman" w:eastAsiaTheme="minorEastAsia" w:hAnsi="Times New Roman"/>
          <w:kern w:val="24"/>
          <w:sz w:val="24"/>
          <w:szCs w:val="24"/>
        </w:rPr>
        <w:t xml:space="preserve">has so far </w:t>
      </w:r>
      <w:r w:rsidRPr="00B530BB">
        <w:rPr>
          <w:rFonts w:ascii="Times New Roman" w:eastAsiaTheme="minorEastAsia" w:hAnsi="Times New Roman"/>
          <w:kern w:val="24"/>
          <w:sz w:val="24"/>
          <w:szCs w:val="24"/>
        </w:rPr>
        <w:t>been made to estimate the imp</w:t>
      </w:r>
      <w:r w:rsidR="00A807FF" w:rsidRPr="00B530BB">
        <w:rPr>
          <w:rFonts w:ascii="Times New Roman" w:eastAsiaTheme="minorEastAsia" w:hAnsi="Times New Roman"/>
          <w:kern w:val="24"/>
          <w:sz w:val="24"/>
          <w:szCs w:val="24"/>
        </w:rPr>
        <w:t xml:space="preserve">acts of further closures on the robustness of the </w:t>
      </w:r>
      <w:r w:rsidR="00040C38">
        <w:rPr>
          <w:rFonts w:ascii="Times New Roman" w:eastAsiaTheme="minorEastAsia" w:hAnsi="Times New Roman"/>
          <w:kern w:val="24"/>
          <w:sz w:val="24"/>
          <w:szCs w:val="24"/>
        </w:rPr>
        <w:t>PK</w:t>
      </w:r>
      <w:r w:rsidR="00A807FF" w:rsidRPr="00B530BB">
        <w:rPr>
          <w:rFonts w:ascii="Times New Roman" w:eastAsiaTheme="minorEastAsia" w:hAnsi="Times New Roman"/>
          <w:kern w:val="24"/>
          <w:sz w:val="24"/>
          <w:szCs w:val="24"/>
        </w:rPr>
        <w:t xml:space="preserve"> network</w:t>
      </w:r>
      <w:r w:rsidR="001E2056">
        <w:rPr>
          <w:rFonts w:ascii="Times New Roman" w:eastAsiaTheme="minorEastAsia" w:hAnsi="Times New Roman"/>
          <w:kern w:val="24"/>
          <w:sz w:val="24"/>
          <w:szCs w:val="24"/>
        </w:rPr>
        <w:t xml:space="preserve">. Such a study </w:t>
      </w:r>
      <w:r w:rsidR="007D0379" w:rsidRPr="00B530BB">
        <w:rPr>
          <w:rFonts w:ascii="Times New Roman" w:eastAsiaTheme="minorEastAsia" w:hAnsi="Times New Roman"/>
          <w:kern w:val="24"/>
          <w:sz w:val="24"/>
          <w:szCs w:val="24"/>
        </w:rPr>
        <w:t xml:space="preserve">would help to advise how support could be </w:t>
      </w:r>
      <w:r w:rsidR="00912652" w:rsidRPr="00B530BB">
        <w:rPr>
          <w:rFonts w:ascii="Times New Roman" w:eastAsiaTheme="minorEastAsia" w:hAnsi="Times New Roman"/>
          <w:kern w:val="24"/>
          <w:sz w:val="24"/>
          <w:szCs w:val="24"/>
        </w:rPr>
        <w:t>best targeted to safeguard animal welfare</w:t>
      </w:r>
      <w:r w:rsidR="001E2056">
        <w:rPr>
          <w:rFonts w:ascii="Times New Roman" w:eastAsiaTheme="minorEastAsia" w:hAnsi="Times New Roman"/>
          <w:kern w:val="24"/>
          <w:sz w:val="24"/>
          <w:szCs w:val="24"/>
        </w:rPr>
        <w:t xml:space="preserve"> and b</w:t>
      </w:r>
      <w:r w:rsidR="00912652" w:rsidRPr="00B530BB">
        <w:rPr>
          <w:rFonts w:ascii="Times New Roman" w:eastAsiaTheme="minorEastAsia" w:hAnsi="Times New Roman"/>
          <w:kern w:val="24"/>
          <w:sz w:val="24"/>
          <w:szCs w:val="24"/>
        </w:rPr>
        <w:t>usinesses</w:t>
      </w:r>
      <w:r w:rsidR="001E2056">
        <w:rPr>
          <w:rFonts w:ascii="Times New Roman" w:eastAsiaTheme="minorEastAsia" w:hAnsi="Times New Roman"/>
          <w:kern w:val="24"/>
          <w:sz w:val="24"/>
          <w:szCs w:val="24"/>
        </w:rPr>
        <w:t xml:space="preserve"> in the local red meat supply chains</w:t>
      </w:r>
      <w:r w:rsidR="00A807FF" w:rsidRPr="00B530BB">
        <w:rPr>
          <w:rFonts w:ascii="Times New Roman" w:eastAsiaTheme="minorEastAsia" w:hAnsi="Times New Roman"/>
          <w:kern w:val="24"/>
          <w:sz w:val="24"/>
          <w:szCs w:val="24"/>
        </w:rPr>
        <w:t>.</w:t>
      </w:r>
      <w:r w:rsidR="00912652" w:rsidRPr="00B530BB">
        <w:rPr>
          <w:rFonts w:ascii="Times New Roman" w:eastAsiaTheme="minorEastAsia" w:hAnsi="Times New Roman"/>
          <w:kern w:val="24"/>
          <w:sz w:val="24"/>
          <w:szCs w:val="24"/>
        </w:rPr>
        <w:t xml:space="preserve">  </w:t>
      </w:r>
      <w:r w:rsidR="00A42CD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This study </w:t>
      </w:r>
      <w:r w:rsidR="001E2056">
        <w:rPr>
          <w:rFonts w:ascii="Times New Roman" w:eastAsia="Calibri" w:hAnsi="Times New Roman"/>
          <w:sz w:val="24"/>
          <w:szCs w:val="24"/>
          <w:lang w:val="en-US"/>
        </w:rPr>
        <w:t xml:space="preserve">is a first step to </w:t>
      </w:r>
      <w:r w:rsidR="00CA735C" w:rsidRPr="00B530BB">
        <w:rPr>
          <w:rFonts w:ascii="Times New Roman" w:eastAsia="Calibri" w:hAnsi="Times New Roman"/>
          <w:sz w:val="24"/>
          <w:szCs w:val="24"/>
          <w:lang w:val="en-US"/>
        </w:rPr>
        <w:t>address this deficiency</w:t>
      </w:r>
      <w:r w:rsidR="00B32685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.  It uses </w:t>
      </w:r>
      <w:r w:rsidR="00A42CD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farmer and abattoir </w:t>
      </w:r>
      <w:r w:rsidR="007B4F9C" w:rsidRPr="00B530BB">
        <w:rPr>
          <w:rFonts w:ascii="Times New Roman" w:eastAsia="Calibri" w:hAnsi="Times New Roman"/>
          <w:sz w:val="24"/>
          <w:szCs w:val="24"/>
          <w:lang w:val="en-US"/>
        </w:rPr>
        <w:t>survey data</w:t>
      </w:r>
      <w:r w:rsidR="00CA735C" w:rsidRPr="00B530BB">
        <w:rPr>
          <w:rFonts w:ascii="Times New Roman" w:eastAsia="Calibri" w:hAnsi="Times New Roman"/>
          <w:sz w:val="24"/>
          <w:szCs w:val="24"/>
          <w:lang w:val="en-US"/>
        </w:rPr>
        <w:t>,</w:t>
      </w:r>
      <w:r w:rsidR="007B4F9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1E2056">
        <w:rPr>
          <w:rFonts w:ascii="Times New Roman" w:eastAsia="Calibri" w:hAnsi="Times New Roman"/>
          <w:sz w:val="24"/>
          <w:szCs w:val="24"/>
          <w:lang w:val="en-US"/>
        </w:rPr>
        <w:t xml:space="preserve">the </w:t>
      </w:r>
      <w:r w:rsidR="00B32685" w:rsidRPr="00B530BB">
        <w:rPr>
          <w:rFonts w:ascii="Times New Roman" w:eastAsia="Calibri" w:hAnsi="Times New Roman"/>
          <w:sz w:val="24"/>
          <w:szCs w:val="24"/>
          <w:lang w:val="en-US"/>
        </w:rPr>
        <w:t>Geographic Information System (</w:t>
      </w:r>
      <w:r w:rsidR="00AC2EF7" w:rsidRPr="00B530BB">
        <w:rPr>
          <w:rFonts w:ascii="Times New Roman" w:eastAsia="Calibri" w:hAnsi="Times New Roman"/>
          <w:sz w:val="24"/>
          <w:szCs w:val="24"/>
          <w:lang w:val="en-US"/>
        </w:rPr>
        <w:t>GIS</w:t>
      </w:r>
      <w:r w:rsidR="00B32685" w:rsidRPr="00B530BB">
        <w:rPr>
          <w:rFonts w:ascii="Times New Roman" w:eastAsia="Calibri" w:hAnsi="Times New Roman"/>
          <w:sz w:val="24"/>
          <w:szCs w:val="24"/>
          <w:lang w:val="en-US"/>
        </w:rPr>
        <w:t>)</w:t>
      </w:r>
      <w:r w:rsidR="00AC2EF7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software</w:t>
      </w:r>
      <w:r w:rsidR="00CA735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B32685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ArcGIS Pro, </w:t>
      </w:r>
      <w:r w:rsidR="00CA735C" w:rsidRPr="00B530BB">
        <w:rPr>
          <w:rFonts w:ascii="Times New Roman" w:eastAsia="Calibri" w:hAnsi="Times New Roman"/>
          <w:sz w:val="24"/>
          <w:szCs w:val="24"/>
          <w:lang w:val="en-US"/>
        </w:rPr>
        <w:t>and</w:t>
      </w:r>
      <w:r w:rsidR="00AC2EF7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7B4F9C" w:rsidRPr="00B530BB">
        <w:rPr>
          <w:rFonts w:ascii="Times New Roman" w:eastAsia="Calibri" w:hAnsi="Times New Roman"/>
          <w:sz w:val="24"/>
          <w:szCs w:val="24"/>
          <w:lang w:val="en-US"/>
        </w:rPr>
        <w:t>Monte</w:t>
      </w:r>
      <w:r w:rsidR="00410BFA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7B4F9C" w:rsidRPr="00B530BB">
        <w:rPr>
          <w:rFonts w:ascii="Times New Roman" w:eastAsia="Calibri" w:hAnsi="Times New Roman"/>
          <w:sz w:val="24"/>
          <w:szCs w:val="24"/>
          <w:lang w:val="en-US"/>
        </w:rPr>
        <w:t>Carlo simulations</w:t>
      </w:r>
      <w:r w:rsidR="00CA735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A42CD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to </w:t>
      </w:r>
      <w:r w:rsidR="00AC2EF7" w:rsidRPr="00B530BB">
        <w:rPr>
          <w:rFonts w:ascii="Times New Roman" w:eastAsia="Calibri" w:hAnsi="Times New Roman"/>
          <w:sz w:val="24"/>
          <w:szCs w:val="24"/>
          <w:lang w:val="en-US"/>
        </w:rPr>
        <w:t>e</w:t>
      </w:r>
      <w:r w:rsidR="009A02CE" w:rsidRPr="00B530BB">
        <w:rPr>
          <w:rFonts w:ascii="Times New Roman" w:eastAsia="Calibri" w:hAnsi="Times New Roman"/>
          <w:sz w:val="24"/>
          <w:szCs w:val="24"/>
          <w:lang w:val="en-US"/>
        </w:rPr>
        <w:t>stimate</w:t>
      </w:r>
      <w:r w:rsidR="00AC2EF7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623C1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 </w:t>
      </w:r>
      <w:r w:rsidR="00AC2EF7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change in </w:t>
      </w:r>
      <w:r w:rsidR="00CA735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 </w:t>
      </w:r>
      <w:r w:rsidR="009A02CE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geographical </w:t>
      </w:r>
      <w:r w:rsidR="007B4F9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area </w:t>
      </w:r>
      <w:r w:rsidR="00623C1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serviced by </w:t>
      </w:r>
      <w:r w:rsidR="00040C38">
        <w:rPr>
          <w:rFonts w:ascii="Times New Roman" w:eastAsia="Calibri" w:hAnsi="Times New Roman"/>
          <w:sz w:val="24"/>
          <w:szCs w:val="24"/>
          <w:lang w:val="en-US"/>
        </w:rPr>
        <w:t>PK</w:t>
      </w:r>
      <w:r w:rsidR="00623C1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abattoirs resulting from </w:t>
      </w:r>
      <w:r w:rsidR="00CA735C" w:rsidRPr="00B530BB">
        <w:rPr>
          <w:rFonts w:ascii="Times New Roman" w:eastAsia="Calibri" w:hAnsi="Times New Roman"/>
          <w:sz w:val="24"/>
          <w:szCs w:val="24"/>
          <w:lang w:val="en-US"/>
        </w:rPr>
        <w:t>the further closure of abattoirs</w:t>
      </w:r>
      <w:r w:rsidR="00912652" w:rsidRPr="00B530BB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7A8B2D7A" w14:textId="77777777" w:rsidR="009A02CE" w:rsidRPr="00B530BB" w:rsidRDefault="009A02CE" w:rsidP="002A0139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118A725D" w14:textId="77777777" w:rsidR="007B4F9C" w:rsidRPr="00B530BB" w:rsidRDefault="007B4F9C" w:rsidP="002A0139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E8EFA4" w14:textId="48EBE523" w:rsidR="001A7780" w:rsidRPr="00B530BB" w:rsidRDefault="00634EEF" w:rsidP="002A0139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2</w:t>
      </w:r>
      <w:r w:rsidR="001A7780"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620B0E"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Analytical framework and study </w:t>
      </w:r>
      <w:r w:rsidR="001A7780"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>method</w:t>
      </w:r>
      <w:r w:rsidR="00620B0E"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>s</w:t>
      </w:r>
    </w:p>
    <w:p w14:paraId="58A521EE" w14:textId="6FB65B24" w:rsidR="00620B0E" w:rsidRPr="00B530BB" w:rsidRDefault="00620B0E" w:rsidP="002A0139">
      <w:pPr>
        <w:pStyle w:val="BodyText"/>
        <w:kinsoku w:val="0"/>
        <w:overflowPunct w:val="0"/>
        <w:spacing w:before="24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analysis </w:t>
      </w:r>
      <w:r w:rsidR="00B55DEB">
        <w:rPr>
          <w:rFonts w:ascii="Times New Roman" w:hAnsi="Times New Roman" w:cs="Times New Roman"/>
          <w:color w:val="000000" w:themeColor="text1"/>
          <w:sz w:val="24"/>
          <w:szCs w:val="24"/>
        </w:rPr>
        <w:t>assumes</w:t>
      </w:r>
      <w:r w:rsidR="00CC787C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smaller 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area without </w:t>
      </w:r>
      <w:r w:rsidR="00040C38">
        <w:rPr>
          <w:rFonts w:ascii="Times New Roman" w:hAnsi="Times New Roman" w:cs="Times New Roman"/>
          <w:color w:val="000000" w:themeColor="text1"/>
          <w:sz w:val="24"/>
          <w:szCs w:val="24"/>
        </w:rPr>
        <w:t>PK</w:t>
      </w: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services and the larger 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>area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multiple 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abattoir </w:t>
      </w: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coverage 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more robust 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40C38">
        <w:rPr>
          <w:rFonts w:ascii="Times New Roman" w:hAnsi="Times New Roman" w:cs="Times New Roman"/>
          <w:color w:val="000000" w:themeColor="text1"/>
          <w:sz w:val="24"/>
          <w:szCs w:val="24"/>
        </w:rPr>
        <w:t>PK</w:t>
      </w: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network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787C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In principle, therefore, </w:t>
      </w:r>
      <w:r w:rsidR="00C0020A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resilience </w:t>
      </w:r>
      <w:r w:rsidR="00C0020A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</w:t>
      </w:r>
      <w:r w:rsidR="00040C38">
        <w:rPr>
          <w:rFonts w:ascii="Times New Roman" w:hAnsi="Times New Roman" w:cs="Times New Roman"/>
          <w:color w:val="000000" w:themeColor="text1"/>
          <w:sz w:val="24"/>
          <w:szCs w:val="24"/>
        </w:rPr>
        <w:t>PK</w:t>
      </w:r>
      <w:r w:rsidR="00C0020A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network </w:t>
      </w: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 be 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>tested</w:t>
      </w: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removing abattoirs from the underlying population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>calculating the resulting geographic coverage</w:t>
      </w:r>
      <w:r w:rsidR="00C0020A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comparing th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55D8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results against</w:t>
      </w:r>
      <w:r w:rsidR="00C0020A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>baseline (i.e. current)</w:t>
      </w:r>
      <w:r w:rsidR="00C0020A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coverage.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Ideally, the abattoirs removed from the network would be those </w:t>
      </w:r>
      <w:r w:rsidR="002F614A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are 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most likely to close.  However, </w:t>
      </w:r>
      <w:r w:rsidR="00B55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>this information is not available</w:t>
      </w:r>
      <w:r w:rsidR="00B55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is a proof 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concept study </w:t>
      </w:r>
      <w:r w:rsidR="00B55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>uses Monte</w:t>
      </w:r>
      <w:r w:rsidR="00410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Carlo simulations to randomly remove </w:t>
      </w:r>
      <w:r w:rsidR="00040C38">
        <w:rPr>
          <w:rFonts w:ascii="Times New Roman" w:hAnsi="Times New Roman" w:cs="Times New Roman"/>
          <w:color w:val="000000" w:themeColor="text1"/>
          <w:sz w:val="24"/>
          <w:szCs w:val="24"/>
        </w:rPr>
        <w:t>PK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abattoirs from the </w:t>
      </w:r>
      <w:r w:rsidR="00B55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network </w:t>
      </w:r>
      <w:r w:rsidR="00E20A99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B55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C38">
        <w:rPr>
          <w:rFonts w:ascii="Times New Roman" w:hAnsi="Times New Roman" w:cs="Times New Roman"/>
          <w:color w:val="000000" w:themeColor="text1"/>
          <w:sz w:val="24"/>
          <w:szCs w:val="24"/>
        </w:rPr>
        <w:t>PK</w:t>
      </w:r>
      <w:r w:rsidR="00B55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abattoirs trading in 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>August 20</w:t>
      </w:r>
      <w:r w:rsidR="002F614A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62AB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55D8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20A99">
        <w:rPr>
          <w:rFonts w:ascii="Times New Roman" w:hAnsi="Times New Roman" w:cs="Times New Roman"/>
          <w:color w:val="000000" w:themeColor="text1"/>
          <w:sz w:val="24"/>
          <w:szCs w:val="24"/>
        </w:rPr>
        <w:t>The r</w:t>
      </w:r>
      <w:r w:rsidR="00E55D8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esulting scenarios quantify </w:t>
      </w:r>
      <w:r w:rsidR="00E20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E55D8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impacts of the closures </w:t>
      </w:r>
      <w:r w:rsidR="00B13BF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E55D84" w:rsidRPr="00B5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demonstrate the potential of the methodology.</w:t>
      </w:r>
    </w:p>
    <w:p w14:paraId="3C6CFEC7" w14:textId="77777777" w:rsidR="00F069E1" w:rsidRPr="00B530BB" w:rsidRDefault="00F069E1" w:rsidP="002A0139">
      <w:pPr>
        <w:spacing w:before="240" w:line="360" w:lineRule="auto"/>
        <w:jc w:val="both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</w:p>
    <w:p w14:paraId="52A802B2" w14:textId="4253FC11" w:rsidR="00F069E1" w:rsidRPr="00B530BB" w:rsidRDefault="007A6976" w:rsidP="002A0139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30BB">
        <w:rPr>
          <w:rFonts w:ascii="Times New Roman" w:hAnsi="Times New Roman"/>
          <w:i/>
          <w:sz w:val="24"/>
          <w:szCs w:val="24"/>
        </w:rPr>
        <w:t>2</w:t>
      </w:r>
      <w:r w:rsidR="001A7780" w:rsidRPr="00B530BB">
        <w:rPr>
          <w:rFonts w:ascii="Times New Roman" w:hAnsi="Times New Roman"/>
          <w:i/>
          <w:sz w:val="24"/>
          <w:szCs w:val="24"/>
        </w:rPr>
        <w:t>.1</w:t>
      </w:r>
      <w:r w:rsidR="001A7780" w:rsidRPr="00B530BB">
        <w:rPr>
          <w:rFonts w:ascii="Times New Roman" w:hAnsi="Times New Roman"/>
          <w:i/>
          <w:sz w:val="24"/>
          <w:szCs w:val="24"/>
        </w:rPr>
        <w:tab/>
      </w:r>
      <w:r w:rsidR="00AA69BF" w:rsidRPr="00B530BB">
        <w:rPr>
          <w:rFonts w:ascii="Times New Roman" w:hAnsi="Times New Roman"/>
          <w:i/>
          <w:sz w:val="24"/>
          <w:szCs w:val="24"/>
        </w:rPr>
        <w:t>S</w:t>
      </w:r>
      <w:r w:rsidR="00F069E1" w:rsidRPr="00B530BB">
        <w:rPr>
          <w:rFonts w:ascii="Times New Roman" w:hAnsi="Times New Roman"/>
          <w:i/>
          <w:sz w:val="24"/>
          <w:szCs w:val="24"/>
        </w:rPr>
        <w:t xml:space="preserve">urvey of </w:t>
      </w:r>
      <w:r w:rsidR="00AA69BF" w:rsidRPr="00B530BB">
        <w:rPr>
          <w:rFonts w:ascii="Times New Roman" w:hAnsi="Times New Roman"/>
          <w:i/>
          <w:sz w:val="24"/>
          <w:szCs w:val="24"/>
        </w:rPr>
        <w:t>abattoirs providing private kill services</w:t>
      </w:r>
    </w:p>
    <w:p w14:paraId="53B5E1C1" w14:textId="425D177B" w:rsidR="00D1786F" w:rsidRPr="00B530BB" w:rsidRDefault="003969B0" w:rsidP="002A0139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The study collected </w:t>
      </w:r>
      <w:r w:rsidR="002F3C2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information from a</w:t>
      </w:r>
      <w:r w:rsidR="00525F4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n online survey of farmers who 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use abattoirs for their PKR businesses, </w:t>
      </w:r>
      <w:r w:rsidR="00525F4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the </w:t>
      </w:r>
      <w:r w:rsidR="009B5AF2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number </w:t>
      </w:r>
      <w:r w:rsidR="00E62AB4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of livestock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sold through the PKR business each year</w:t>
      </w:r>
      <w:r w:rsidR="00E62AB4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, </w:t>
      </w:r>
      <w:r w:rsidR="009B5AF2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and </w:t>
      </w:r>
      <w:r w:rsidR="00E62AB4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the </w:t>
      </w:r>
      <w:r w:rsidR="00525F4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distance livestock travel</w:t>
      </w:r>
      <w:r w:rsidR="007D0206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led</w:t>
      </w:r>
      <w:r w:rsidR="00525F4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from the farm </w:t>
      </w:r>
      <w:r w:rsidR="00242309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for </w:t>
      </w:r>
      <w:r w:rsidR="00040C3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PK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R</w:t>
      </w:r>
      <w:r w:rsidR="00242309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slaughter</w:t>
      </w:r>
      <w:r w:rsidR="00525F40"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.</w:t>
      </w:r>
      <w:r w:rsidR="001A7780" w:rsidRPr="00B530BB">
        <w:rPr>
          <w:rFonts w:ascii="Times New Roman" w:hAnsi="Times New Roman"/>
          <w:sz w:val="24"/>
          <w:szCs w:val="24"/>
        </w:rPr>
        <w:t xml:space="preserve">  Forty relevant organisations were approached via email for assistance in promoting the survey.  Those which did not respond after 4 weeks were contacted again.  A total of 21 organisations agreed to share the survey URL via their newsletters, social media streams and mailing lists.</w:t>
      </w:r>
      <w:r w:rsidR="002F3C2B">
        <w:rPr>
          <w:rFonts w:ascii="Times New Roman" w:hAnsi="Times New Roman"/>
          <w:sz w:val="24"/>
          <w:szCs w:val="24"/>
        </w:rPr>
        <w:t xml:space="preserve">  </w:t>
      </w:r>
      <w:r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As there is no national database of abattoirs that provide 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PK</w:t>
      </w:r>
      <w:r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services,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a telephone </w:t>
      </w:r>
      <w:r w:rsidRPr="00B530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survey of abattoirs was undertaken to identify the existing service provision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.  A</w:t>
      </w:r>
      <w:r w:rsidR="00A12A02" w:rsidRPr="00B530B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ll </w:t>
      </w:r>
      <w:r w:rsidR="00E01DE6" w:rsidRPr="00B530BB">
        <w:rPr>
          <w:rFonts w:ascii="Times New Roman" w:eastAsia="Calibri" w:hAnsi="Times New Roman"/>
          <w:color w:val="000000" w:themeColor="text1"/>
          <w:sz w:val="24"/>
          <w:szCs w:val="24"/>
        </w:rPr>
        <w:t>220</w:t>
      </w:r>
      <w:r w:rsidR="00A12A02" w:rsidRPr="00B530B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DF45BE" w:rsidRPr="00B530BB">
        <w:rPr>
          <w:rFonts w:ascii="Times New Roman" w:hAnsi="Times New Roman"/>
          <w:sz w:val="24"/>
          <w:szCs w:val="24"/>
        </w:rPr>
        <w:t>abattoirs</w:t>
      </w:r>
      <w:r>
        <w:rPr>
          <w:rFonts w:ascii="Times New Roman" w:hAnsi="Times New Roman"/>
          <w:sz w:val="24"/>
          <w:szCs w:val="24"/>
        </w:rPr>
        <w:t xml:space="preserve"> currently trading were contacted</w:t>
      </w:r>
      <w:r w:rsidR="00E01DE6" w:rsidRPr="00B530BB">
        <w:rPr>
          <w:rFonts w:ascii="Times New Roman" w:hAnsi="Times New Roman"/>
          <w:sz w:val="24"/>
          <w:szCs w:val="24"/>
        </w:rPr>
        <w:t>,</w:t>
      </w:r>
      <w:r w:rsidR="007D516D" w:rsidRPr="00B530BB">
        <w:rPr>
          <w:rFonts w:ascii="Times New Roman" w:hAnsi="Times New Roman"/>
          <w:sz w:val="24"/>
          <w:szCs w:val="24"/>
        </w:rPr>
        <w:t xml:space="preserve"> </w:t>
      </w:r>
      <w:r w:rsidR="00A12A02" w:rsidRPr="00B530BB">
        <w:rPr>
          <w:rFonts w:ascii="Times New Roman" w:hAnsi="Times New Roman"/>
          <w:sz w:val="24"/>
          <w:szCs w:val="24"/>
        </w:rPr>
        <w:t>u</w:t>
      </w:r>
      <w:r w:rsidR="00DF45BE" w:rsidRPr="00B530BB">
        <w:rPr>
          <w:rFonts w:ascii="Times New Roman" w:hAnsi="Times New Roman"/>
          <w:sz w:val="24"/>
          <w:szCs w:val="24"/>
        </w:rPr>
        <w:t xml:space="preserve">sing </w:t>
      </w:r>
      <w:r>
        <w:rPr>
          <w:rFonts w:ascii="Times New Roman" w:hAnsi="Times New Roman"/>
          <w:sz w:val="24"/>
          <w:szCs w:val="24"/>
        </w:rPr>
        <w:t xml:space="preserve">contact </w:t>
      </w:r>
      <w:r w:rsidR="00DF45BE" w:rsidRPr="00B530BB">
        <w:rPr>
          <w:rFonts w:ascii="Times New Roman" w:hAnsi="Times New Roman"/>
          <w:sz w:val="24"/>
          <w:szCs w:val="24"/>
        </w:rPr>
        <w:t xml:space="preserve">details then publicly available from the </w:t>
      </w:r>
      <w:r w:rsidR="005706BC" w:rsidRPr="00B530BB">
        <w:rPr>
          <w:rFonts w:ascii="Times New Roman" w:hAnsi="Times New Roman"/>
          <w:sz w:val="24"/>
          <w:szCs w:val="24"/>
        </w:rPr>
        <w:t>Agricultural and Horticultural Development Board (</w:t>
      </w:r>
      <w:r w:rsidR="00277D33" w:rsidRPr="00B530BB">
        <w:rPr>
          <w:rFonts w:ascii="Times New Roman" w:hAnsi="Times New Roman"/>
          <w:sz w:val="24"/>
          <w:szCs w:val="24"/>
        </w:rPr>
        <w:t>AHDB</w:t>
      </w:r>
      <w:r w:rsidR="005706BC" w:rsidRPr="00B530B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supported by internet searches</w:t>
      </w:r>
      <w:r w:rsidR="002F3C2B">
        <w:rPr>
          <w:rFonts w:ascii="Times New Roman" w:hAnsi="Times New Roman"/>
          <w:sz w:val="24"/>
          <w:szCs w:val="24"/>
        </w:rPr>
        <w:t>.  This identified 1</w:t>
      </w:r>
      <w:r w:rsidR="002219D7" w:rsidRPr="00B530BB">
        <w:rPr>
          <w:rFonts w:ascii="Times New Roman" w:hAnsi="Times New Roman"/>
          <w:sz w:val="24"/>
          <w:szCs w:val="24"/>
        </w:rPr>
        <w:t xml:space="preserve">47 abattoirs </w:t>
      </w:r>
      <w:r w:rsidR="00782B41" w:rsidRPr="00B530BB">
        <w:rPr>
          <w:rFonts w:ascii="Times New Roman" w:hAnsi="Times New Roman"/>
          <w:sz w:val="24"/>
          <w:szCs w:val="24"/>
        </w:rPr>
        <w:t>offer</w:t>
      </w:r>
      <w:r w:rsidR="00E01DE6" w:rsidRPr="00B530BB">
        <w:rPr>
          <w:rFonts w:ascii="Times New Roman" w:hAnsi="Times New Roman"/>
          <w:sz w:val="24"/>
          <w:szCs w:val="24"/>
        </w:rPr>
        <w:t xml:space="preserve">ing </w:t>
      </w:r>
      <w:r w:rsidR="00040C38">
        <w:rPr>
          <w:rFonts w:ascii="Times New Roman" w:hAnsi="Times New Roman"/>
          <w:sz w:val="24"/>
          <w:szCs w:val="24"/>
        </w:rPr>
        <w:t>PK</w:t>
      </w:r>
      <w:r w:rsidR="00782B41" w:rsidRPr="00B530BB">
        <w:rPr>
          <w:rFonts w:ascii="Times New Roman" w:hAnsi="Times New Roman"/>
          <w:sz w:val="24"/>
          <w:szCs w:val="24"/>
        </w:rPr>
        <w:t xml:space="preserve"> services</w:t>
      </w:r>
      <w:r w:rsidR="00130F62" w:rsidRPr="00B530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across the UK </w:t>
      </w:r>
      <w:r w:rsidR="00130F62" w:rsidRPr="00B530BB">
        <w:rPr>
          <w:rFonts w:ascii="Times New Roman" w:hAnsi="Times New Roman"/>
          <w:sz w:val="24"/>
          <w:szCs w:val="24"/>
        </w:rPr>
        <w:t xml:space="preserve">in </w:t>
      </w:r>
      <w:r w:rsidR="00782B41" w:rsidRPr="00B530BB">
        <w:rPr>
          <w:rFonts w:ascii="Times New Roman" w:hAnsi="Times New Roman"/>
          <w:sz w:val="24"/>
          <w:szCs w:val="24"/>
        </w:rPr>
        <w:t xml:space="preserve">August </w:t>
      </w:r>
      <w:r w:rsidR="00130F62" w:rsidRPr="00B530BB">
        <w:rPr>
          <w:rFonts w:ascii="Times New Roman" w:hAnsi="Times New Roman"/>
          <w:sz w:val="24"/>
          <w:szCs w:val="24"/>
        </w:rPr>
        <w:t>202</w:t>
      </w:r>
      <w:r w:rsidR="00E01DE6" w:rsidRPr="00B530BB">
        <w:rPr>
          <w:rFonts w:ascii="Times New Roman" w:hAnsi="Times New Roman"/>
          <w:sz w:val="24"/>
          <w:szCs w:val="24"/>
        </w:rPr>
        <w:t>0</w:t>
      </w:r>
      <w:r w:rsidR="00277D33" w:rsidRPr="00B530BB">
        <w:rPr>
          <w:rFonts w:ascii="Times New Roman" w:hAnsi="Times New Roman"/>
          <w:sz w:val="24"/>
          <w:szCs w:val="24"/>
        </w:rPr>
        <w:t>.</w:t>
      </w:r>
      <w:r w:rsidR="009B5AF2" w:rsidRPr="00B530BB">
        <w:rPr>
          <w:rFonts w:ascii="Times New Roman" w:hAnsi="Times New Roman"/>
          <w:sz w:val="24"/>
          <w:szCs w:val="24"/>
        </w:rPr>
        <w:t xml:space="preserve">  </w:t>
      </w:r>
      <w:r w:rsidR="0030506D" w:rsidRPr="00B530BB">
        <w:rPr>
          <w:rFonts w:ascii="Times New Roman" w:hAnsi="Times New Roman"/>
          <w:sz w:val="24"/>
          <w:szCs w:val="24"/>
        </w:rPr>
        <w:t xml:space="preserve">Additional </w:t>
      </w:r>
      <w:r w:rsidR="009B5AF2" w:rsidRPr="00B530BB">
        <w:rPr>
          <w:rFonts w:ascii="Times New Roman" w:hAnsi="Times New Roman"/>
          <w:sz w:val="24"/>
          <w:szCs w:val="24"/>
        </w:rPr>
        <w:t>de</w:t>
      </w:r>
      <w:r w:rsidR="0030506D" w:rsidRPr="00B530BB">
        <w:rPr>
          <w:rFonts w:ascii="Times New Roman" w:hAnsi="Times New Roman"/>
          <w:sz w:val="24"/>
          <w:szCs w:val="24"/>
        </w:rPr>
        <w:t xml:space="preserve">scription of </w:t>
      </w:r>
      <w:r w:rsidR="009B5AF2" w:rsidRPr="00B530BB">
        <w:rPr>
          <w:rFonts w:ascii="Times New Roman" w:hAnsi="Times New Roman"/>
          <w:sz w:val="24"/>
          <w:szCs w:val="24"/>
        </w:rPr>
        <w:t>the survey methodolog</w:t>
      </w:r>
      <w:r w:rsidR="0030506D" w:rsidRPr="00B530BB">
        <w:rPr>
          <w:rFonts w:ascii="Times New Roman" w:hAnsi="Times New Roman"/>
          <w:sz w:val="24"/>
          <w:szCs w:val="24"/>
        </w:rPr>
        <w:t>ies</w:t>
      </w:r>
      <w:r w:rsidR="009B5AF2" w:rsidRPr="00B530BB">
        <w:rPr>
          <w:rFonts w:ascii="Times New Roman" w:hAnsi="Times New Roman"/>
          <w:sz w:val="24"/>
          <w:szCs w:val="24"/>
        </w:rPr>
        <w:t xml:space="preserve"> can be found in </w:t>
      </w:r>
      <w:r w:rsidR="009B5AF2" w:rsidRPr="00B530BB">
        <w:rPr>
          <w:rFonts w:ascii="Times New Roman" w:hAnsi="Times New Roman"/>
          <w:sz w:val="24"/>
          <w:szCs w:val="24"/>
        </w:rPr>
        <w:fldChar w:fldCharType="begin"/>
      </w:r>
      <w:r w:rsidR="008B2881">
        <w:rPr>
          <w:rFonts w:ascii="Times New Roman" w:hAnsi="Times New Roman"/>
          <w:sz w:val="24"/>
          <w:szCs w:val="24"/>
        </w:rPr>
        <w:instrText xml:space="preserve"> ADDIN EN.CITE &lt;EndNote&gt;&lt;Cite AuthorYear="1"&gt;&lt;Author&gt;Franks&lt;/Author&gt;&lt;Year&gt;2021&lt;/Year&gt;&lt;RecNum&gt;272&lt;/RecNum&gt;&lt;DisplayText&gt;Franks and Peden (2021)&lt;/DisplayText&gt;&lt;record&gt;&lt;rec-number&gt;272&lt;/rec-number&gt;&lt;foreign-keys&gt;&lt;key app="EN" db-id="e5d9x9tfh0a52xexwvlp2w0vef5xzfsp9dz0" timestamp="1630080862"&gt;272&lt;/key&gt;&lt;/foreign-keys&gt;&lt;ref-type name="Report"&gt;27&lt;/ref-type&gt;&lt;contributors&gt;&lt;authors&gt;&lt;author&gt;Franks, J. R.,&lt;/author&gt;&lt;author&gt;Peden, R.&lt;/author&gt;&lt;/authors&gt;&lt;tertiary-authors&gt;&lt;author&gt;The Princes Trust&lt;/author&gt;&lt;/tertiary-authors&gt;&lt;/contributors&gt;&lt;titles&gt;&lt;title&gt; An economic analysis of the role and viability of small abattoirs in the red meat supply chain&lt;/title&gt;&lt;/titles&gt;&lt;dates&gt;&lt;year&gt;2021&lt;/year&gt;&lt;/dates&gt;&lt;pub-location&gt;https://www.princescountrysidefund.org.uk/our-impact/our-research/all-on-the-table/ [Accessed May 2022]&lt;/pub-location&gt;&lt;urls&gt;&lt;related-urls&gt;&lt;url&gt;https://www.princescountrysidefund.org.uk/our-impact/our-research/all-on-the-table/ (accessed August 2021)&lt;/url&gt;&lt;/related-urls&gt;&lt;/urls&gt;&lt;/record&gt;&lt;/Cite&gt;&lt;/EndNote&gt;</w:instrText>
      </w:r>
      <w:r w:rsidR="009B5AF2" w:rsidRPr="00B530BB">
        <w:rPr>
          <w:rFonts w:ascii="Times New Roman" w:hAnsi="Times New Roman"/>
          <w:sz w:val="24"/>
          <w:szCs w:val="24"/>
        </w:rPr>
        <w:fldChar w:fldCharType="separate"/>
      </w:r>
      <w:r w:rsidR="009B5AF2" w:rsidRPr="00B530BB">
        <w:rPr>
          <w:rFonts w:ascii="Times New Roman" w:hAnsi="Times New Roman"/>
          <w:noProof/>
          <w:sz w:val="24"/>
          <w:szCs w:val="24"/>
        </w:rPr>
        <w:t>Franks and Peden (2021)</w:t>
      </w:r>
      <w:r w:rsidR="009B5AF2" w:rsidRPr="00B530BB">
        <w:rPr>
          <w:rFonts w:ascii="Times New Roman" w:hAnsi="Times New Roman"/>
          <w:sz w:val="24"/>
          <w:szCs w:val="24"/>
        </w:rPr>
        <w:fldChar w:fldCharType="end"/>
      </w:r>
      <w:r w:rsidR="009B5AF2" w:rsidRPr="00B530BB">
        <w:rPr>
          <w:rFonts w:ascii="Times New Roman" w:hAnsi="Times New Roman"/>
          <w:sz w:val="24"/>
          <w:szCs w:val="24"/>
        </w:rPr>
        <w:t>.</w:t>
      </w:r>
    </w:p>
    <w:p w14:paraId="61D26F42" w14:textId="77777777" w:rsidR="00873E7A" w:rsidRPr="00B530BB" w:rsidRDefault="00873E7A" w:rsidP="002A0139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504BA7" w14:textId="4F2E56B6" w:rsidR="0094422E" w:rsidRPr="00B530BB" w:rsidRDefault="007A6976" w:rsidP="002A0139">
      <w:pPr>
        <w:spacing w:before="24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530BB">
        <w:rPr>
          <w:rFonts w:ascii="Times New Roman" w:hAnsi="Times New Roman"/>
          <w:i/>
          <w:iCs/>
          <w:sz w:val="24"/>
          <w:szCs w:val="24"/>
        </w:rPr>
        <w:t>2</w:t>
      </w:r>
      <w:r w:rsidR="0094422E" w:rsidRPr="00B530BB">
        <w:rPr>
          <w:rFonts w:ascii="Times New Roman" w:hAnsi="Times New Roman"/>
          <w:i/>
          <w:iCs/>
          <w:sz w:val="24"/>
          <w:szCs w:val="24"/>
        </w:rPr>
        <w:t>.</w:t>
      </w:r>
      <w:r w:rsidR="008E25DE" w:rsidRPr="00B530BB">
        <w:rPr>
          <w:rFonts w:ascii="Times New Roman" w:hAnsi="Times New Roman"/>
          <w:i/>
          <w:iCs/>
          <w:sz w:val="24"/>
          <w:szCs w:val="24"/>
        </w:rPr>
        <w:t>2</w:t>
      </w:r>
      <w:r w:rsidR="0094422E" w:rsidRPr="00B530BB">
        <w:rPr>
          <w:rFonts w:ascii="Times New Roman" w:hAnsi="Times New Roman"/>
          <w:i/>
          <w:iCs/>
          <w:sz w:val="24"/>
          <w:szCs w:val="24"/>
        </w:rPr>
        <w:tab/>
        <w:t>GIS methodology</w:t>
      </w:r>
    </w:p>
    <w:p w14:paraId="2951B578" w14:textId="63C29249" w:rsidR="000838C6" w:rsidRDefault="00FC730A" w:rsidP="002A0139">
      <w:pPr>
        <w:spacing w:before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0BB">
        <w:rPr>
          <w:rFonts w:ascii="Times New Roman" w:hAnsi="Times New Roman"/>
          <w:sz w:val="24"/>
          <w:szCs w:val="24"/>
        </w:rPr>
        <w:t>Monte</w:t>
      </w:r>
      <w:r w:rsidR="00410BFA">
        <w:rPr>
          <w:rFonts w:ascii="Times New Roman" w:hAnsi="Times New Roman"/>
          <w:sz w:val="24"/>
          <w:szCs w:val="24"/>
        </w:rPr>
        <w:t xml:space="preserve"> </w:t>
      </w:r>
      <w:r w:rsidRPr="00B530BB">
        <w:rPr>
          <w:rFonts w:ascii="Times New Roman" w:hAnsi="Times New Roman"/>
          <w:sz w:val="24"/>
          <w:szCs w:val="24"/>
        </w:rPr>
        <w:t xml:space="preserve">Carlo simulations </w:t>
      </w:r>
      <w:r w:rsidR="003A2BD7" w:rsidRPr="00B530BB">
        <w:rPr>
          <w:rFonts w:ascii="Times New Roman" w:hAnsi="Times New Roman"/>
          <w:sz w:val="24"/>
          <w:szCs w:val="24"/>
        </w:rPr>
        <w:t xml:space="preserve">have been used alongside spatial analysis for 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>several years</w:t>
      </w:r>
      <w:r w:rsidR="000F0E5A">
        <w:rPr>
          <w:rFonts w:ascii="Times New Roman" w:hAnsi="Times New Roman"/>
          <w:color w:val="000000" w:themeColor="text1"/>
          <w:sz w:val="24"/>
          <w:szCs w:val="24"/>
        </w:rPr>
        <w:t>.  T</w:t>
      </w:r>
      <w:r w:rsidR="00B85002" w:rsidRPr="00B530BB">
        <w:rPr>
          <w:rFonts w:ascii="Times New Roman" w:hAnsi="Times New Roman"/>
          <w:color w:val="000000" w:themeColor="text1"/>
          <w:sz w:val="24"/>
          <w:szCs w:val="24"/>
        </w:rPr>
        <w:t>he flexibility and volume of tools available within ArcGIS means that methods can be widely applied allowing results to be visualised to gain additional meaning from data</w:t>
      </w:r>
      <w:r w:rsidR="00B850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8C6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ldData xml:space="preserve">PEVuZE5vdGU+PENpdGU+PEF1dGhvcj5Ccm93bjwvQXV0aG9yPjxZZWFyPjIwMDk8L1llYXI+PFJl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</w:fldData>
        </w:fldChar>
      </w:r>
      <w:r w:rsidR="000838C6">
        <w:rPr>
          <w:rFonts w:ascii="Times New Roman" w:hAnsi="Times New Roman"/>
          <w:color w:val="000000" w:themeColor="text1"/>
          <w:sz w:val="24"/>
          <w:szCs w:val="24"/>
        </w:rPr>
        <w:instrText xml:space="preserve"> ADDIN EN.CITE </w:instrText>
      </w:r>
      <w:r w:rsidR="000838C6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ldData xml:space="preserve">PEVuZE5vdGU+PENpdGU+PEF1dGhvcj5Ccm93bjwvQXV0aG9yPjxZZWFyPjIwMDk8L1llYXI+PFJl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</w:fldData>
        </w:fldChar>
      </w:r>
      <w:r w:rsidR="000838C6">
        <w:rPr>
          <w:rFonts w:ascii="Times New Roman" w:hAnsi="Times New Roman"/>
          <w:color w:val="000000" w:themeColor="text1"/>
          <w:sz w:val="24"/>
          <w:szCs w:val="24"/>
        </w:rPr>
        <w:instrText xml:space="preserve"> ADDIN EN.CITE.DATA </w:instrText>
      </w:r>
      <w:r w:rsidR="000838C6">
        <w:rPr>
          <w:rFonts w:ascii="Times New Roman" w:hAnsi="Times New Roman"/>
          <w:color w:val="000000" w:themeColor="text1"/>
          <w:sz w:val="24"/>
          <w:szCs w:val="24"/>
        </w:rPr>
      </w:r>
      <w:r w:rsidR="000838C6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0838C6">
        <w:rPr>
          <w:rFonts w:ascii="Times New Roman" w:hAnsi="Times New Roman"/>
          <w:color w:val="000000" w:themeColor="text1"/>
          <w:sz w:val="24"/>
          <w:szCs w:val="24"/>
        </w:rPr>
      </w:r>
      <w:r w:rsidR="000838C6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0838C6">
        <w:rPr>
          <w:rFonts w:ascii="Times New Roman" w:hAnsi="Times New Roman"/>
          <w:noProof/>
          <w:color w:val="000000" w:themeColor="text1"/>
          <w:sz w:val="24"/>
          <w:szCs w:val="24"/>
        </w:rPr>
        <w:t>(Brown et al., 2009, Park et al., 2013, Toma-Danila, 2018)</w:t>
      </w:r>
      <w:r w:rsidR="000838C6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9E701C" w14:textId="18945D02" w:rsidR="00774AA0" w:rsidRPr="00B530BB" w:rsidRDefault="000F0E5A" w:rsidP="002A0139">
      <w:pPr>
        <w:spacing w:before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Postal code </w:t>
      </w:r>
      <w:r w:rsidR="00D568BF" w:rsidRPr="00B530BB">
        <w:rPr>
          <w:rFonts w:ascii="Times New Roman" w:hAnsi="Times New Roman"/>
          <w:sz w:val="24"/>
          <w:szCs w:val="24"/>
        </w:rPr>
        <w:t xml:space="preserve">data points generated by the </w:t>
      </w:r>
      <w:r>
        <w:rPr>
          <w:rFonts w:ascii="Times New Roman" w:hAnsi="Times New Roman"/>
          <w:sz w:val="24"/>
          <w:szCs w:val="24"/>
        </w:rPr>
        <w:t xml:space="preserve">abattoir </w:t>
      </w:r>
      <w:r w:rsidR="00D568BF" w:rsidRPr="00B530BB">
        <w:rPr>
          <w:rFonts w:ascii="Times New Roman" w:hAnsi="Times New Roman"/>
          <w:sz w:val="24"/>
          <w:szCs w:val="24"/>
        </w:rPr>
        <w:t>survey w</w:t>
      </w:r>
      <w:r w:rsidR="006B759D" w:rsidRPr="00B530BB">
        <w:rPr>
          <w:rFonts w:ascii="Times New Roman" w:hAnsi="Times New Roman"/>
          <w:sz w:val="24"/>
          <w:szCs w:val="24"/>
        </w:rPr>
        <w:t>ere</w:t>
      </w:r>
      <w:r w:rsidR="00D568BF" w:rsidRPr="00B530BB">
        <w:rPr>
          <w:rFonts w:ascii="Times New Roman" w:hAnsi="Times New Roman"/>
          <w:sz w:val="24"/>
          <w:szCs w:val="24"/>
        </w:rPr>
        <w:t xml:space="preserve"> used in ArcGIS software to estimate the area of the UK further than 45kms away from a </w:t>
      </w:r>
      <w:r w:rsidR="00040C38">
        <w:rPr>
          <w:rFonts w:ascii="Times New Roman" w:hAnsi="Times New Roman"/>
          <w:sz w:val="24"/>
          <w:szCs w:val="24"/>
        </w:rPr>
        <w:t>PK</w:t>
      </w:r>
      <w:r w:rsidR="00D568BF" w:rsidRPr="00B530BB">
        <w:rPr>
          <w:rFonts w:ascii="Times New Roman" w:hAnsi="Times New Roman"/>
          <w:sz w:val="24"/>
          <w:szCs w:val="24"/>
        </w:rPr>
        <w:t xml:space="preserve"> abattoir, and the areas covered by one, two and three or more </w:t>
      </w:r>
      <w:r>
        <w:rPr>
          <w:rFonts w:ascii="Times New Roman" w:hAnsi="Times New Roman"/>
          <w:sz w:val="24"/>
          <w:szCs w:val="24"/>
        </w:rPr>
        <w:t xml:space="preserve">PK </w:t>
      </w:r>
      <w:r w:rsidR="00D568BF" w:rsidRPr="00B530BB">
        <w:rPr>
          <w:rFonts w:ascii="Times New Roman" w:hAnsi="Times New Roman"/>
          <w:sz w:val="24"/>
          <w:szCs w:val="24"/>
        </w:rPr>
        <w:t xml:space="preserve">abattoirs in August 2020.  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The stages of spatial analysis are demonstrated </w:t>
      </w:r>
      <w:r w:rsidR="00B57E68" w:rsidRPr="00B530B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n Figure </w:t>
      </w:r>
      <w:r w:rsidR="004651E0" w:rsidRPr="00B530B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1773E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Firstly, the buffer tool was applied to the abattoir dataset </w:t>
      </w:r>
      <w:r w:rsidR="007E2E7D" w:rsidRPr="00B530BB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="007E2E7D" w:rsidRPr="00B530BB">
        <w:rPr>
          <w:rFonts w:ascii="Times New Roman" w:hAnsi="Times New Roman"/>
          <w:color w:val="000000" w:themeColor="text1"/>
          <w:sz w:val="24"/>
          <w:szCs w:val="24"/>
        </w:rPr>
        <w:instrText xml:space="preserve"> ADDIN EN.CITE &lt;EndNote&gt;&lt;Cite&gt;&lt;Author&gt;Jensen&lt;/Author&gt;&lt;Year&gt;2013&lt;/Year&gt;&lt;RecNum&gt;281&lt;/RecNum&gt;&lt;DisplayText&gt;(Jensen and Jensen, 2013)&lt;/DisplayText&gt;&lt;record&gt;&lt;rec-number&gt;281&lt;/rec-number&gt;&lt;foreign-keys&gt;&lt;key app="EN" db-id="e5d9x9tfh0a52xexwvlp2w0vef5xzfsp9dz0" timestamp="1641374856"&gt;281&lt;/key&gt;&lt;/foreign-keys&gt;&lt;ref-type name="Book"&gt;6&lt;/ref-type&gt;&lt;contributors&gt;&lt;authors&gt;&lt;author&gt;Jensen, J. R.,&lt;/author&gt;&lt;author&gt;Jensen, R. R.&lt;/author&gt;&lt;/authors&gt;&lt;/contributors&gt;&lt;titles&gt;&lt;title&gt;Introductory Geographic Information Systems&lt;/title&gt;&lt;/titles&gt;&lt;edition&gt;2nd&lt;/edition&gt;&lt;dates&gt;&lt;year&gt;2013&lt;/year&gt;&lt;/dates&gt;&lt;pub-location&gt;https://www.pearson.com/uk/educators/higher-education-educators/program/Jensen-Introductory-Geographic-Information-Systems-International-Edition/PGM1023104.html (Accessed: 7 December 2021)&lt;/pub-location&gt;&lt;publisher&gt;Pearson&lt;/publisher&gt;&lt;isbn&gt;9780321813183&lt;/isbn&gt;&lt;urls&gt;&lt;related-urls&gt;&lt;url&gt;https://www.pearson.com/uk/educators/higher-education-educators/program/Jensen-Introductory-Geographic-Information-Systems-International-Edition/PGM1023104.html (Accessed: 7 December 2021)&lt;/url&gt;&lt;/related-urls&gt;&lt;/urls&gt;&lt;/record&gt;&lt;/Cite&gt;&lt;/EndNote&gt;</w:instrText>
      </w:r>
      <w:r w:rsidR="007E2E7D" w:rsidRPr="00B530BB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7E2E7D" w:rsidRPr="00B530BB">
        <w:rPr>
          <w:rFonts w:ascii="Times New Roman" w:hAnsi="Times New Roman"/>
          <w:noProof/>
          <w:color w:val="000000" w:themeColor="text1"/>
          <w:sz w:val="24"/>
          <w:szCs w:val="24"/>
        </w:rPr>
        <w:t>(Jensen and Jensen, 2013)</w:t>
      </w:r>
      <w:r w:rsidR="007E2E7D" w:rsidRPr="00B530BB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E43AE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The distance </w:t>
      </w:r>
      <w:r w:rsidR="00431D2C">
        <w:rPr>
          <w:rFonts w:ascii="Times New Roman" w:hAnsi="Times New Roman"/>
          <w:color w:val="000000" w:themeColor="text1"/>
          <w:sz w:val="24"/>
          <w:szCs w:val="24"/>
        </w:rPr>
        <w:t xml:space="preserve">used for the 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buffer </w:t>
      </w:r>
      <w:r w:rsidR="00431D2C">
        <w:rPr>
          <w:rFonts w:ascii="Times New Roman" w:hAnsi="Times New Roman"/>
          <w:color w:val="000000" w:themeColor="text1"/>
          <w:sz w:val="24"/>
          <w:szCs w:val="24"/>
        </w:rPr>
        <w:t xml:space="preserve">area </w:t>
      </w:r>
      <w:r w:rsidR="00F500E0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was derived from the </w:t>
      </w:r>
      <w:r w:rsidR="00431D2C">
        <w:rPr>
          <w:rFonts w:ascii="Times New Roman" w:hAnsi="Times New Roman"/>
          <w:color w:val="000000" w:themeColor="text1"/>
          <w:sz w:val="24"/>
          <w:szCs w:val="24"/>
        </w:rPr>
        <w:t xml:space="preserve">farmer </w:t>
      </w:r>
      <w:r w:rsidR="00F500E0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survey </w:t>
      </w:r>
      <w:r w:rsidR="00F1773E" w:rsidRPr="00B530BB">
        <w:rPr>
          <w:rFonts w:ascii="Times New Roman" w:hAnsi="Times New Roman"/>
          <w:color w:val="000000" w:themeColor="text1"/>
          <w:sz w:val="24"/>
          <w:szCs w:val="24"/>
        </w:rPr>
        <w:t>and a review of the literature (see below)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500E0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773E" w:rsidRPr="00B530BB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>he output produce</w:t>
      </w:r>
      <w:r w:rsidR="00431D2C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a series of circles denoting the spatial proximity </w:t>
      </w:r>
      <w:r w:rsidR="00F1773E" w:rsidRPr="00B530BB">
        <w:rPr>
          <w:rFonts w:ascii="Times New Roman" w:hAnsi="Times New Roman"/>
          <w:color w:val="000000" w:themeColor="text1"/>
          <w:sz w:val="24"/>
          <w:szCs w:val="24"/>
        </w:rPr>
        <w:t>of abattoirs to each other</w:t>
      </w:r>
      <w:r w:rsidR="006467E2" w:rsidRPr="00B530B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838C6">
        <w:rPr>
          <w:rFonts w:ascii="Times New Roman" w:hAnsi="Times New Roman"/>
          <w:color w:val="000000" w:themeColor="text1"/>
          <w:sz w:val="24"/>
          <w:szCs w:val="24"/>
        </w:rPr>
        <w:t xml:space="preserve">  T</w:t>
      </w:r>
      <w:r w:rsidR="0004651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he 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>data w</w:t>
      </w:r>
      <w:r w:rsidR="002F259E" w:rsidRPr="00B530BB">
        <w:rPr>
          <w:rFonts w:ascii="Times New Roman" w:hAnsi="Times New Roman"/>
          <w:color w:val="000000" w:themeColor="text1"/>
          <w:sz w:val="24"/>
          <w:szCs w:val="24"/>
        </w:rPr>
        <w:t>ere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clipped </w:t>
      </w:r>
      <w:r w:rsidR="00431D2C">
        <w:rPr>
          <w:rFonts w:ascii="Times New Roman" w:hAnsi="Times New Roman"/>
          <w:color w:val="000000" w:themeColor="text1"/>
          <w:sz w:val="24"/>
          <w:szCs w:val="24"/>
        </w:rPr>
        <w:t xml:space="preserve">so that 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areas of the buffers which overlayed the </w:t>
      </w:r>
      <w:r w:rsidR="0004651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coastal 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outline of the UK were removed. </w:t>
      </w:r>
      <w:r w:rsidR="00AF4D88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8C6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o calculate the number of abattoirs servicing </w:t>
      </w:r>
      <w:r w:rsidR="00296372">
        <w:rPr>
          <w:rFonts w:ascii="Times New Roman" w:hAnsi="Times New Roman"/>
          <w:color w:val="000000" w:themeColor="text1"/>
          <w:sz w:val="24"/>
          <w:szCs w:val="24"/>
        </w:rPr>
        <w:t>any place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across the </w:t>
      </w:r>
      <w:r w:rsidR="003A0A94" w:rsidRPr="00B530BB">
        <w:rPr>
          <w:rFonts w:ascii="Times New Roman" w:hAnsi="Times New Roman"/>
          <w:color w:val="000000" w:themeColor="text1"/>
          <w:sz w:val="24"/>
          <w:szCs w:val="24"/>
        </w:rPr>
        <w:t>UK, buffers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overlay</w:t>
      </w:r>
      <w:r w:rsidR="003A0A94" w:rsidRPr="00B530BB">
        <w:rPr>
          <w:rFonts w:ascii="Times New Roman" w:hAnsi="Times New Roman"/>
          <w:color w:val="000000" w:themeColor="text1"/>
          <w:sz w:val="24"/>
          <w:szCs w:val="24"/>
        </w:rPr>
        <w:t>ing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each other were counted</w:t>
      </w:r>
      <w:r w:rsidR="006467E2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to </w:t>
      </w:r>
      <w:r w:rsidR="00563C0A" w:rsidRPr="00B530BB">
        <w:rPr>
          <w:rFonts w:ascii="Times New Roman" w:hAnsi="Times New Roman"/>
          <w:color w:val="000000" w:themeColor="text1"/>
          <w:sz w:val="24"/>
          <w:szCs w:val="24"/>
        </w:rPr>
        <w:t>produce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a dataset </w:t>
      </w:r>
      <w:r w:rsidR="0004651D" w:rsidRPr="00B530BB">
        <w:rPr>
          <w:rFonts w:ascii="Times New Roman" w:hAnsi="Times New Roman"/>
          <w:color w:val="000000" w:themeColor="text1"/>
          <w:sz w:val="24"/>
          <w:szCs w:val="24"/>
        </w:rPr>
        <w:t>in which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e</w:t>
      </w:r>
      <w:r w:rsidR="00296372">
        <w:rPr>
          <w:rFonts w:ascii="Times New Roman" w:hAnsi="Times New Roman"/>
          <w:color w:val="000000" w:themeColor="text1"/>
          <w:sz w:val="24"/>
          <w:szCs w:val="24"/>
        </w:rPr>
        <w:t>very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6372">
        <w:rPr>
          <w:rFonts w:ascii="Times New Roman" w:hAnsi="Times New Roman"/>
          <w:color w:val="000000" w:themeColor="text1"/>
          <w:sz w:val="24"/>
          <w:szCs w:val="24"/>
        </w:rPr>
        <w:t>place in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the </w:t>
      </w:r>
      <w:r w:rsidR="00AF4D88" w:rsidRPr="00B530BB">
        <w:rPr>
          <w:rFonts w:ascii="Times New Roman" w:hAnsi="Times New Roman"/>
          <w:color w:val="000000" w:themeColor="text1"/>
          <w:sz w:val="24"/>
          <w:szCs w:val="24"/>
        </w:rPr>
        <w:t>UK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had a</w:t>
      </w:r>
      <w:r w:rsidR="0001634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>value of how many abattoirs serviced it</w:t>
      </w:r>
      <w:r w:rsidR="006467E2" w:rsidRPr="00B530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EF97EA0" w14:textId="48F1E153" w:rsidR="00774AA0" w:rsidRPr="00B530BB" w:rsidRDefault="00774AA0" w:rsidP="002A0139">
      <w:pPr>
        <w:spacing w:after="20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8CA2E36" w14:textId="3328D5FB" w:rsidR="007E2E7D" w:rsidRPr="00B530BB" w:rsidRDefault="007E2E7D" w:rsidP="002A0139">
      <w:pPr>
        <w:spacing w:before="240" w:line="36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530BB"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BA43718" wp14:editId="628E48AB">
            <wp:simplePos x="0" y="0"/>
            <wp:positionH relativeFrom="margin">
              <wp:posOffset>576580</wp:posOffset>
            </wp:positionH>
            <wp:positionV relativeFrom="paragraph">
              <wp:posOffset>474980</wp:posOffset>
            </wp:positionV>
            <wp:extent cx="4374515" cy="1881505"/>
            <wp:effectExtent l="0" t="0" r="6985" b="4445"/>
            <wp:wrapTopAndBottom/>
            <wp:docPr id="3" name="Picture 3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515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>Figure</w:t>
      </w:r>
      <w:r w:rsidR="004421FB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1.  </w:t>
      </w:r>
      <w:r w:rsidR="00F83885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>Stages of sp</w:t>
      </w:r>
      <w:r w:rsidR="00DD0D23">
        <w:rPr>
          <w:rFonts w:ascii="Times New Roman" w:hAnsi="Times New Roman"/>
          <w:i/>
          <w:iCs/>
          <w:color w:val="000000" w:themeColor="text1"/>
          <w:sz w:val="24"/>
          <w:szCs w:val="24"/>
        </w:rPr>
        <w:t>at</w:t>
      </w:r>
      <w:r w:rsidR="00F83885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>ial analysis used by GIS</w:t>
      </w:r>
    </w:p>
    <w:p w14:paraId="017D7196" w14:textId="77777777" w:rsidR="00361B5C" w:rsidRDefault="00ED525D" w:rsidP="002A0139">
      <w:pPr>
        <w:spacing w:before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This allowed e</w:t>
      </w:r>
      <w:r w:rsidR="00121ABC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ach area of land </w:t>
      </w:r>
      <w:r>
        <w:rPr>
          <w:rFonts w:ascii="Times New Roman" w:hAnsi="Times New Roman"/>
          <w:color w:val="000000" w:themeColor="text1"/>
          <w:sz w:val="24"/>
          <w:szCs w:val="24"/>
        </w:rPr>
        <w:t>to be</w:t>
      </w:r>
      <w:r w:rsidR="00121ABC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classified as being </w:t>
      </w:r>
      <w:r w:rsidR="00356ED6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serviced by no abattoir, by one abattoir, by two abattoirs, and by three or more abattoirs.  </w:t>
      </w:r>
      <w:r w:rsidR="00121ABC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To estimate the 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percentage </w:t>
      </w:r>
      <w:r w:rsidR="00356ED6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of the UK 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>cover</w:t>
      </w:r>
      <w:r w:rsidR="00356ED6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ed by </w:t>
      </w:r>
      <w:r w:rsidR="00121ABC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each of </w:t>
      </w:r>
      <w:r w:rsidR="00356ED6" w:rsidRPr="00B530BB">
        <w:rPr>
          <w:rFonts w:ascii="Times New Roman" w:hAnsi="Times New Roman"/>
          <w:color w:val="000000" w:themeColor="text1"/>
          <w:sz w:val="24"/>
          <w:szCs w:val="24"/>
        </w:rPr>
        <w:t>these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6ED6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four 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>categories</w:t>
      </w:r>
      <w:r w:rsidR="00361B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361B5C">
        <w:rPr>
          <w:rFonts w:ascii="Times New Roman" w:hAnsi="Times New Roman"/>
          <w:color w:val="000000" w:themeColor="text1"/>
          <w:sz w:val="24"/>
          <w:szCs w:val="24"/>
        </w:rPr>
        <w:t xml:space="preserve">overlapping features were </w:t>
      </w:r>
      <w:r w:rsidR="00356ED6" w:rsidRPr="00B530BB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>dissolv</w:t>
      </w:r>
      <w:r w:rsidR="00361B5C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="00356ED6" w:rsidRPr="00B530BB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1ABC" w:rsidRPr="00B530BB">
        <w:rPr>
          <w:rFonts w:ascii="Times New Roman" w:hAnsi="Times New Roman"/>
          <w:color w:val="000000" w:themeColor="text1"/>
          <w:sz w:val="24"/>
          <w:szCs w:val="24"/>
        </w:rPr>
        <w:t>to produce a single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dataset</w:t>
      </w:r>
      <w:r w:rsidR="00356ED6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>rather than a series of buffers</w:t>
      </w:r>
      <w:r w:rsidR="0018698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2BD7" w:rsidRPr="00B530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47B8536" w14:textId="6315B5E9" w:rsidR="003A2BD7" w:rsidRPr="00B530BB" w:rsidRDefault="003A2BD7" w:rsidP="002A0139">
      <w:pPr>
        <w:spacing w:before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This process was repeated </w:t>
      </w:r>
      <w:r w:rsidR="00D73AB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to produce </w:t>
      </w:r>
      <w:r w:rsidR="00361B5C">
        <w:rPr>
          <w:rFonts w:ascii="Times New Roman" w:hAnsi="Times New Roman"/>
          <w:color w:val="000000" w:themeColor="text1"/>
          <w:sz w:val="24"/>
          <w:szCs w:val="24"/>
        </w:rPr>
        <w:t xml:space="preserve">estimates of the </w:t>
      </w:r>
      <w:r w:rsidR="00D73ABD" w:rsidRPr="00B530BB">
        <w:rPr>
          <w:rFonts w:ascii="Times New Roman" w:hAnsi="Times New Roman"/>
          <w:color w:val="000000" w:themeColor="text1"/>
          <w:sz w:val="24"/>
          <w:szCs w:val="24"/>
        </w:rPr>
        <w:t>geographical area cover</w:t>
      </w:r>
      <w:r w:rsidR="00361B5C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="00D73AB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calculated for </w:t>
      </w:r>
      <w:r w:rsidR="00356ED6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the reduced population of abattoirs </w:t>
      </w:r>
      <w:r w:rsidR="00D73AB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following </w:t>
      </w:r>
      <w:r w:rsidR="00356ED6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the random removal of individual </w:t>
      </w:r>
      <w:r w:rsidR="009E543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businesses identified </w:t>
      </w:r>
      <w:r w:rsidR="00D73AB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by the 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>Monte</w:t>
      </w:r>
      <w:r w:rsidR="00410B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>Carlo simulation</w:t>
      </w:r>
      <w:r w:rsidR="00B57E68" w:rsidRPr="00B530B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094ACFB" w14:textId="77777777" w:rsidR="0094422E" w:rsidRPr="00B530BB" w:rsidRDefault="0094422E" w:rsidP="002A0139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0C0DE1" w14:textId="442CC242" w:rsidR="00A80840" w:rsidRPr="00B530BB" w:rsidRDefault="007A6976" w:rsidP="002A0139">
      <w:pPr>
        <w:spacing w:before="240" w:after="24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530BB">
        <w:rPr>
          <w:rFonts w:ascii="Times New Roman" w:hAnsi="Times New Roman"/>
          <w:b/>
          <w:bCs/>
          <w:sz w:val="24"/>
          <w:szCs w:val="24"/>
        </w:rPr>
        <w:t>3</w:t>
      </w:r>
      <w:r w:rsidR="00A80840" w:rsidRPr="00B530BB">
        <w:rPr>
          <w:rFonts w:ascii="Times New Roman" w:hAnsi="Times New Roman"/>
          <w:b/>
          <w:bCs/>
          <w:sz w:val="24"/>
          <w:szCs w:val="24"/>
        </w:rPr>
        <w:tab/>
        <w:t xml:space="preserve">Survey findings: the </w:t>
      </w:r>
      <w:r w:rsidR="001A1440" w:rsidRPr="00B530BB">
        <w:rPr>
          <w:rFonts w:ascii="Times New Roman" w:hAnsi="Times New Roman"/>
          <w:b/>
          <w:bCs/>
          <w:sz w:val="24"/>
          <w:szCs w:val="24"/>
        </w:rPr>
        <w:t xml:space="preserve">baseline </w:t>
      </w:r>
      <w:r w:rsidR="00A80840" w:rsidRPr="00B530BB">
        <w:rPr>
          <w:rFonts w:ascii="Times New Roman" w:hAnsi="Times New Roman"/>
          <w:b/>
          <w:bCs/>
          <w:sz w:val="24"/>
          <w:szCs w:val="24"/>
        </w:rPr>
        <w:t>distribution of abattoirs (August 202</w:t>
      </w:r>
      <w:r w:rsidR="008A7869">
        <w:rPr>
          <w:rFonts w:ascii="Times New Roman" w:hAnsi="Times New Roman"/>
          <w:b/>
          <w:bCs/>
          <w:sz w:val="24"/>
          <w:szCs w:val="24"/>
        </w:rPr>
        <w:t>0</w:t>
      </w:r>
      <w:r w:rsidR="00A80840" w:rsidRPr="00B530BB">
        <w:rPr>
          <w:rFonts w:ascii="Times New Roman" w:hAnsi="Times New Roman"/>
          <w:b/>
          <w:bCs/>
          <w:sz w:val="24"/>
          <w:szCs w:val="24"/>
        </w:rPr>
        <w:t>)</w:t>
      </w:r>
    </w:p>
    <w:p w14:paraId="1FB88073" w14:textId="6B964F67" w:rsidR="006C1B1B" w:rsidRPr="00B530BB" w:rsidRDefault="00F7408D" w:rsidP="002A0139">
      <w:p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eastAsia="Calibri" w:hAnsi="Times New Roman"/>
          <w:sz w:val="24"/>
          <w:szCs w:val="24"/>
          <w:lang w:val="en-US"/>
        </w:rPr>
        <w:lastRenderedPageBreak/>
        <w:t xml:space="preserve">The </w:t>
      </w:r>
      <w:r w:rsidR="00967468" w:rsidRPr="00B530BB">
        <w:rPr>
          <w:rFonts w:ascii="Times New Roman" w:eastAsia="Calibri" w:hAnsi="Times New Roman"/>
          <w:sz w:val="24"/>
          <w:szCs w:val="24"/>
          <w:lang w:val="en-US"/>
        </w:rPr>
        <w:t>choice</w:t>
      </w:r>
      <w:r w:rsidR="008C3ED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of </w:t>
      </w:r>
      <w:r w:rsidR="00A836E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 straight-line, “as the crow flies”,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45km </w:t>
      </w:r>
      <w:r w:rsidR="008C3ED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as the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radius </w:t>
      </w:r>
      <w:r w:rsidR="00FD5E27" w:rsidRPr="00B530BB">
        <w:rPr>
          <w:rFonts w:ascii="Times New Roman" w:eastAsia="Calibri" w:hAnsi="Times New Roman"/>
          <w:sz w:val="24"/>
          <w:szCs w:val="24"/>
          <w:lang w:val="en-US"/>
        </w:rPr>
        <w:t>for</w:t>
      </w:r>
      <w:r w:rsidR="008C3ED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the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>buffer zone</w:t>
      </w:r>
      <w:r w:rsidR="008C3ED3" w:rsidRPr="00B530BB">
        <w:rPr>
          <w:rFonts w:ascii="Times New Roman" w:eastAsia="Calibri" w:hAnsi="Times New Roman"/>
          <w:sz w:val="24"/>
          <w:szCs w:val="24"/>
          <w:lang w:val="en-US"/>
        </w:rPr>
        <w:t>s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A836E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drawn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around </w:t>
      </w:r>
      <w:r w:rsidR="008C3ED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each of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 </w:t>
      </w:r>
      <w:r w:rsidR="001F7395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147 </w:t>
      </w:r>
      <w:r w:rsidR="00040C38">
        <w:rPr>
          <w:rFonts w:ascii="Times New Roman" w:eastAsia="Calibri" w:hAnsi="Times New Roman"/>
          <w:sz w:val="24"/>
          <w:szCs w:val="24"/>
          <w:lang w:val="en-US"/>
        </w:rPr>
        <w:t>PK</w:t>
      </w:r>
      <w:r w:rsidR="001F7395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A836E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abattoirs </w:t>
      </w:r>
      <w:r w:rsidR="008C3ED3" w:rsidRPr="00B530BB">
        <w:rPr>
          <w:rFonts w:ascii="Times New Roman" w:eastAsia="Calibri" w:hAnsi="Times New Roman"/>
          <w:sz w:val="24"/>
          <w:szCs w:val="24"/>
          <w:lang w:val="en-US"/>
        </w:rPr>
        <w:t>(</w:t>
      </w:r>
      <w:r w:rsidR="001F7395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shown in Figure </w:t>
      </w:r>
      <w:r w:rsidR="00D2003E" w:rsidRPr="00B530BB">
        <w:rPr>
          <w:rFonts w:ascii="Times New Roman" w:eastAsia="Calibri" w:hAnsi="Times New Roman"/>
          <w:sz w:val="24"/>
          <w:szCs w:val="24"/>
          <w:lang w:val="en-US"/>
        </w:rPr>
        <w:t>2</w:t>
      </w:r>
      <w:r w:rsidR="008C3ED3" w:rsidRPr="00B530BB">
        <w:rPr>
          <w:rFonts w:ascii="Times New Roman" w:eastAsia="Calibri" w:hAnsi="Times New Roman"/>
          <w:sz w:val="24"/>
          <w:szCs w:val="24"/>
          <w:lang w:val="en-US"/>
        </w:rPr>
        <w:t>)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was </w:t>
      </w:r>
      <w:r w:rsidR="00A836ED" w:rsidRPr="00B530BB">
        <w:rPr>
          <w:rFonts w:ascii="Times New Roman" w:eastAsia="Calibri" w:hAnsi="Times New Roman"/>
          <w:sz w:val="24"/>
          <w:szCs w:val="24"/>
          <w:lang w:val="en-US"/>
        </w:rPr>
        <w:t>based on</w:t>
      </w:r>
      <w:r w:rsidR="002D497A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8C3ED3" w:rsidRPr="00B530BB">
        <w:rPr>
          <w:rFonts w:ascii="Times New Roman" w:eastAsia="Calibri" w:hAnsi="Times New Roman"/>
          <w:sz w:val="24"/>
          <w:szCs w:val="24"/>
          <w:lang w:val="en-US"/>
        </w:rPr>
        <w:t>results from the farmer survey and a review of the literature.</w:t>
      </w:r>
      <w:r w:rsidR="006C1B1B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8C3ED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Figure 3 shows that 45kms </w:t>
      </w:r>
      <w:r w:rsidR="008F1C9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is </w:t>
      </w:r>
      <w:r w:rsidR="001F7395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 distance </w:t>
      </w:r>
      <w:r w:rsidR="006E2FF8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50% of livestock </w:t>
      </w:r>
      <w:r w:rsidR="00D84EA8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travelled from farm to abattoir for </w:t>
      </w:r>
      <w:r w:rsidR="00040C38">
        <w:rPr>
          <w:rFonts w:ascii="Times New Roman" w:eastAsia="Calibri" w:hAnsi="Times New Roman"/>
          <w:sz w:val="24"/>
          <w:szCs w:val="24"/>
          <w:lang w:val="en-US"/>
        </w:rPr>
        <w:t>PK</w:t>
      </w:r>
      <w:r w:rsidR="00A02677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D84EA8" w:rsidRPr="00B530BB">
        <w:rPr>
          <w:rFonts w:ascii="Times New Roman" w:eastAsia="Calibri" w:hAnsi="Times New Roman"/>
          <w:sz w:val="24"/>
          <w:szCs w:val="24"/>
          <w:lang w:val="en-US"/>
        </w:rPr>
        <w:t>slaughter</w:t>
      </w:r>
      <w:r w:rsidR="001F7395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1F7395" w:rsidRPr="00B530BB">
        <w:rPr>
          <w:rFonts w:ascii="Times New Roman" w:eastAsia="Calibri" w:hAnsi="Times New Roman"/>
          <w:sz w:val="24"/>
          <w:szCs w:val="24"/>
          <w:lang w:val="en-US"/>
        </w:rPr>
        <w:fldChar w:fldCharType="begin"/>
      </w:r>
      <w:r w:rsidR="008B2881">
        <w:rPr>
          <w:rFonts w:ascii="Times New Roman" w:eastAsia="Calibri" w:hAnsi="Times New Roman"/>
          <w:sz w:val="24"/>
          <w:szCs w:val="24"/>
          <w:lang w:val="en-US"/>
        </w:rPr>
        <w:instrText xml:space="preserve"> ADDIN EN.CITE &lt;EndNote&gt;&lt;Cite&gt;&lt;Author&gt;Franks&lt;/Author&gt;&lt;Year&gt;2021&lt;/Year&gt;&lt;RecNum&gt;272&lt;/RecNum&gt;&lt;DisplayText&gt;(Franks and Peden, 2021)&lt;/DisplayText&gt;&lt;record&gt;&lt;rec-number&gt;272&lt;/rec-number&gt;&lt;foreign-keys&gt;&lt;key app="EN" db-id="e5d9x9tfh0a52xexwvlp2w0vef5xzfsp9dz0" timestamp="1630080862"&gt;272&lt;/key&gt;&lt;/foreign-keys&gt;&lt;ref-type name="Report"&gt;27&lt;/ref-type&gt;&lt;contributors&gt;&lt;authors&gt;&lt;author&gt;Franks, J. R.,&lt;/author&gt;&lt;author&gt;Peden, R.&lt;/author&gt;&lt;/authors&gt;&lt;tertiary-authors&gt;&lt;author&gt;The Princes Trust&lt;/author&gt;&lt;/tertiary-authors&gt;&lt;/contributors&gt;&lt;titles&gt;&lt;title&gt; An economic analysis of the role and viability of small abattoirs in the red meat supply chain&lt;/title&gt;&lt;/titles&gt;&lt;dates&gt;&lt;year&gt;2021&lt;/year&gt;&lt;/dates&gt;&lt;pub-location&gt;https://www.princescountrysidefund.org.uk/our-impact/our-research/all-on-the-table/ [Accessed May 2022]&lt;/pub-location&gt;&lt;urls&gt;&lt;related-urls&gt;&lt;url&gt;https://www.princescountrysidefund.org.uk/our-impact/our-research/all-on-the-table/ (accessed August 2021)&lt;/url&gt;&lt;/related-urls&gt;&lt;/urls&gt;&lt;/record&gt;&lt;/Cite&gt;&lt;/EndNote&gt;</w:instrText>
      </w:r>
      <w:r w:rsidR="001F7395" w:rsidRPr="00B530BB">
        <w:rPr>
          <w:rFonts w:ascii="Times New Roman" w:eastAsia="Calibri" w:hAnsi="Times New Roman"/>
          <w:sz w:val="24"/>
          <w:szCs w:val="24"/>
          <w:lang w:val="en-US"/>
        </w:rPr>
        <w:fldChar w:fldCharType="separate"/>
      </w:r>
      <w:r w:rsidR="001F7395" w:rsidRPr="00B530BB">
        <w:rPr>
          <w:rFonts w:ascii="Times New Roman" w:eastAsia="Calibri" w:hAnsi="Times New Roman"/>
          <w:noProof/>
          <w:sz w:val="24"/>
          <w:szCs w:val="24"/>
          <w:lang w:val="en-US"/>
        </w:rPr>
        <w:t>(Franks and Peden, 2021)</w:t>
      </w:r>
      <w:r w:rsidR="001F7395" w:rsidRPr="00B530BB">
        <w:rPr>
          <w:rFonts w:ascii="Times New Roman" w:eastAsia="Calibri" w:hAnsi="Times New Roman"/>
          <w:sz w:val="24"/>
          <w:szCs w:val="24"/>
          <w:lang w:val="en-US"/>
        </w:rPr>
        <w:fldChar w:fldCharType="end"/>
      </w:r>
      <w:r w:rsidR="00A836E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and Figure 4 shows that </w:t>
      </w:r>
      <w:r w:rsidR="006E2FF8" w:rsidRPr="00B530BB">
        <w:rPr>
          <w:rFonts w:ascii="Times New Roman" w:hAnsi="Times New Roman"/>
          <w:sz w:val="24"/>
          <w:szCs w:val="24"/>
        </w:rPr>
        <w:t>60% of farmers farm</w:t>
      </w:r>
      <w:r w:rsidR="008C3ED3" w:rsidRPr="00B530BB">
        <w:rPr>
          <w:rFonts w:ascii="Times New Roman" w:hAnsi="Times New Roman"/>
          <w:sz w:val="24"/>
          <w:szCs w:val="24"/>
        </w:rPr>
        <w:t>ed</w:t>
      </w:r>
      <w:r w:rsidR="006E2FF8" w:rsidRPr="00B530BB">
        <w:rPr>
          <w:rFonts w:ascii="Times New Roman" w:hAnsi="Times New Roman"/>
          <w:sz w:val="24"/>
          <w:szCs w:val="24"/>
        </w:rPr>
        <w:t xml:space="preserve"> within this </w:t>
      </w:r>
      <w:r w:rsidR="00253B8E" w:rsidRPr="00B530BB">
        <w:rPr>
          <w:rFonts w:ascii="Times New Roman" w:hAnsi="Times New Roman"/>
          <w:sz w:val="24"/>
          <w:szCs w:val="24"/>
        </w:rPr>
        <w:t xml:space="preserve">distance </w:t>
      </w:r>
      <w:r w:rsidR="006E2FF8" w:rsidRPr="00B530BB">
        <w:rPr>
          <w:rFonts w:ascii="Times New Roman" w:hAnsi="Times New Roman"/>
          <w:sz w:val="24"/>
          <w:szCs w:val="24"/>
        </w:rPr>
        <w:t>of the abattoir</w:t>
      </w:r>
      <w:r w:rsidR="00E67D35" w:rsidRPr="00B530BB">
        <w:rPr>
          <w:rFonts w:ascii="Times New Roman" w:hAnsi="Times New Roman"/>
          <w:sz w:val="24"/>
          <w:szCs w:val="24"/>
        </w:rPr>
        <w:t>.</w:t>
      </w:r>
      <w:r w:rsidR="00633E61" w:rsidRPr="00B530BB">
        <w:rPr>
          <w:rFonts w:ascii="Times New Roman" w:hAnsi="Times New Roman"/>
          <w:sz w:val="24"/>
          <w:szCs w:val="24"/>
        </w:rPr>
        <w:t xml:space="preserve">  </w:t>
      </w:r>
      <w:r w:rsidR="00A836ED" w:rsidRPr="00B530BB">
        <w:rPr>
          <w:rFonts w:ascii="Times New Roman" w:hAnsi="Times New Roman"/>
          <w:sz w:val="24"/>
          <w:szCs w:val="24"/>
        </w:rPr>
        <w:t xml:space="preserve">As the </w:t>
      </w:r>
      <w:r w:rsidR="00BA0F9C" w:rsidRPr="00B530BB">
        <w:rPr>
          <w:rFonts w:ascii="Times New Roman" w:hAnsi="Times New Roman"/>
          <w:sz w:val="24"/>
          <w:szCs w:val="24"/>
        </w:rPr>
        <w:t xml:space="preserve">buffer is created as a </w:t>
      </w:r>
      <w:r w:rsidR="00D84EA8" w:rsidRPr="00B530BB">
        <w:rPr>
          <w:rFonts w:ascii="Times New Roman" w:hAnsi="Times New Roman"/>
          <w:sz w:val="24"/>
          <w:szCs w:val="24"/>
        </w:rPr>
        <w:t xml:space="preserve">straight line radius, </w:t>
      </w:r>
      <w:r w:rsidR="002B1C63" w:rsidRPr="00B530BB">
        <w:rPr>
          <w:rFonts w:ascii="Times New Roman" w:hAnsi="Times New Roman"/>
          <w:sz w:val="24"/>
          <w:szCs w:val="24"/>
        </w:rPr>
        <w:t xml:space="preserve">and as </w:t>
      </w:r>
      <w:r w:rsidR="00A836ED" w:rsidRPr="00B530BB">
        <w:rPr>
          <w:rFonts w:ascii="Times New Roman" w:hAnsi="Times New Roman"/>
          <w:sz w:val="24"/>
          <w:szCs w:val="24"/>
        </w:rPr>
        <w:t xml:space="preserve">Figure 3 </w:t>
      </w:r>
      <w:r w:rsidR="002B1C63" w:rsidRPr="00B530BB">
        <w:rPr>
          <w:rFonts w:ascii="Times New Roman" w:hAnsi="Times New Roman"/>
          <w:sz w:val="24"/>
          <w:szCs w:val="24"/>
        </w:rPr>
        <w:t xml:space="preserve">estimates the travel distance from farm to abattoir, </w:t>
      </w:r>
      <w:r w:rsidR="00A02677">
        <w:rPr>
          <w:rFonts w:ascii="Times New Roman" w:hAnsi="Times New Roman"/>
          <w:sz w:val="24"/>
          <w:szCs w:val="24"/>
        </w:rPr>
        <w:t>the non-linear transport network means a</w:t>
      </w:r>
      <w:r w:rsidR="002B1C63" w:rsidRPr="00B530BB">
        <w:rPr>
          <w:rFonts w:ascii="Times New Roman" w:hAnsi="Times New Roman"/>
          <w:sz w:val="24"/>
          <w:szCs w:val="24"/>
        </w:rPr>
        <w:t xml:space="preserve"> </w:t>
      </w:r>
      <w:r w:rsidR="00BA0F9C" w:rsidRPr="00B530BB">
        <w:rPr>
          <w:rFonts w:ascii="Times New Roman" w:hAnsi="Times New Roman"/>
          <w:sz w:val="24"/>
          <w:szCs w:val="24"/>
        </w:rPr>
        <w:t xml:space="preserve">45km </w:t>
      </w:r>
      <w:r w:rsidR="002B1C63" w:rsidRPr="00B530BB">
        <w:rPr>
          <w:rFonts w:ascii="Times New Roman" w:hAnsi="Times New Roman"/>
          <w:sz w:val="24"/>
          <w:szCs w:val="24"/>
        </w:rPr>
        <w:t xml:space="preserve">buffer will </w:t>
      </w:r>
      <w:r w:rsidR="00A02677">
        <w:rPr>
          <w:rFonts w:ascii="Times New Roman" w:hAnsi="Times New Roman"/>
          <w:sz w:val="24"/>
          <w:szCs w:val="24"/>
        </w:rPr>
        <w:t xml:space="preserve">result in longer than 45km journeys, and therefore </w:t>
      </w:r>
      <w:r w:rsidR="002B1C63" w:rsidRPr="00B530BB">
        <w:rPr>
          <w:rFonts w:ascii="Times New Roman" w:hAnsi="Times New Roman"/>
          <w:sz w:val="24"/>
          <w:szCs w:val="24"/>
        </w:rPr>
        <w:t xml:space="preserve">encompass more than 50% of </w:t>
      </w:r>
      <w:r w:rsidR="00D84EA8" w:rsidRPr="00B530BB">
        <w:rPr>
          <w:rFonts w:ascii="Times New Roman" w:hAnsi="Times New Roman"/>
          <w:sz w:val="24"/>
          <w:szCs w:val="24"/>
        </w:rPr>
        <w:t>livestock</w:t>
      </w:r>
      <w:r w:rsidR="002B1C63" w:rsidRPr="00B530BB">
        <w:rPr>
          <w:rFonts w:ascii="Times New Roman" w:hAnsi="Times New Roman"/>
          <w:sz w:val="24"/>
          <w:szCs w:val="24"/>
        </w:rPr>
        <w:t xml:space="preserve"> and 60% of farmers</w:t>
      </w:r>
      <w:r w:rsidR="00A836ED" w:rsidRPr="00B530BB">
        <w:rPr>
          <w:rFonts w:ascii="Times New Roman" w:hAnsi="Times New Roman"/>
          <w:sz w:val="24"/>
          <w:szCs w:val="24"/>
        </w:rPr>
        <w:t xml:space="preserve">.  </w:t>
      </w:r>
      <w:r w:rsidR="006C1B1B" w:rsidRPr="00B530BB">
        <w:rPr>
          <w:rFonts w:ascii="Times New Roman" w:hAnsi="Times New Roman"/>
          <w:sz w:val="24"/>
          <w:szCs w:val="24"/>
        </w:rPr>
        <w:t xml:space="preserve">Secondly, </w:t>
      </w:r>
      <w:r w:rsidR="00633E61" w:rsidRPr="00B530BB">
        <w:rPr>
          <w:rFonts w:ascii="Times New Roman" w:hAnsi="Times New Roman"/>
          <w:sz w:val="24"/>
          <w:szCs w:val="24"/>
        </w:rPr>
        <w:t xml:space="preserve">it </w:t>
      </w:r>
      <w:r w:rsidR="002B6244" w:rsidRPr="00B530BB">
        <w:rPr>
          <w:rFonts w:ascii="Times New Roman" w:hAnsi="Times New Roman"/>
          <w:sz w:val="24"/>
          <w:szCs w:val="24"/>
        </w:rPr>
        <w:t>draw</w:t>
      </w:r>
      <w:r w:rsidR="00633E61" w:rsidRPr="00B530BB">
        <w:rPr>
          <w:rFonts w:ascii="Times New Roman" w:hAnsi="Times New Roman"/>
          <w:sz w:val="24"/>
          <w:szCs w:val="24"/>
        </w:rPr>
        <w:t>s</w:t>
      </w:r>
      <w:r w:rsidR="002B6244" w:rsidRPr="00B530BB">
        <w:rPr>
          <w:rFonts w:ascii="Times New Roman" w:hAnsi="Times New Roman"/>
          <w:sz w:val="24"/>
          <w:szCs w:val="24"/>
        </w:rPr>
        <w:t xml:space="preserve"> on </w:t>
      </w:r>
      <w:r w:rsidR="00BC6B63" w:rsidRPr="00B530BB">
        <w:rPr>
          <w:rFonts w:ascii="Times New Roman" w:hAnsi="Times New Roman"/>
          <w:sz w:val="24"/>
          <w:szCs w:val="24"/>
        </w:rPr>
        <w:t xml:space="preserve">the </w:t>
      </w:r>
      <w:r w:rsidR="00B82BA5" w:rsidRPr="00B530BB">
        <w:rPr>
          <w:rFonts w:ascii="Times New Roman" w:hAnsi="Times New Roman"/>
          <w:sz w:val="24"/>
          <w:szCs w:val="24"/>
        </w:rPr>
        <w:t xml:space="preserve">findings of </w:t>
      </w:r>
      <w:r w:rsidR="006C1B1B" w:rsidRPr="00B530BB">
        <w:rPr>
          <w:rFonts w:ascii="Times New Roman" w:hAnsi="Times New Roman"/>
          <w:sz w:val="24"/>
          <w:szCs w:val="24"/>
        </w:rPr>
        <w:t xml:space="preserve">a literature </w:t>
      </w:r>
      <w:r w:rsidR="00967468" w:rsidRPr="00B530BB">
        <w:rPr>
          <w:rFonts w:ascii="Times New Roman" w:hAnsi="Times New Roman"/>
          <w:sz w:val="24"/>
          <w:szCs w:val="24"/>
        </w:rPr>
        <w:t>review</w:t>
      </w:r>
      <w:r w:rsidR="006C1B1B" w:rsidRPr="00B530BB">
        <w:rPr>
          <w:rFonts w:ascii="Times New Roman" w:hAnsi="Times New Roman"/>
          <w:sz w:val="24"/>
          <w:szCs w:val="24"/>
        </w:rPr>
        <w:t xml:space="preserve"> </w:t>
      </w:r>
      <w:r w:rsidR="00B82BA5" w:rsidRPr="00B530BB">
        <w:rPr>
          <w:rFonts w:ascii="Times New Roman" w:hAnsi="Times New Roman"/>
          <w:sz w:val="24"/>
          <w:szCs w:val="24"/>
        </w:rPr>
        <w:t xml:space="preserve">into </w:t>
      </w:r>
      <w:r w:rsidR="006C1B1B" w:rsidRPr="00B530BB">
        <w:rPr>
          <w:rFonts w:ascii="Times New Roman" w:hAnsi="Times New Roman"/>
          <w:sz w:val="24"/>
          <w:szCs w:val="24"/>
        </w:rPr>
        <w:t xml:space="preserve">consumers </w:t>
      </w:r>
      <w:r w:rsidR="00B82BA5" w:rsidRPr="00B530BB">
        <w:rPr>
          <w:rFonts w:ascii="Times New Roman" w:hAnsi="Times New Roman"/>
          <w:sz w:val="24"/>
          <w:szCs w:val="24"/>
        </w:rPr>
        <w:t xml:space="preserve">perceptions of </w:t>
      </w:r>
      <w:r w:rsidR="00A02677">
        <w:rPr>
          <w:rFonts w:ascii="Times New Roman" w:hAnsi="Times New Roman"/>
          <w:sz w:val="24"/>
          <w:szCs w:val="24"/>
        </w:rPr>
        <w:t xml:space="preserve">what is meant by </w:t>
      </w:r>
      <w:r w:rsidR="006C1B1B" w:rsidRPr="00B530BB">
        <w:rPr>
          <w:rFonts w:ascii="Times New Roman" w:hAnsi="Times New Roman"/>
          <w:sz w:val="24"/>
          <w:szCs w:val="24"/>
        </w:rPr>
        <w:t xml:space="preserve">“local” </w:t>
      </w:r>
      <w:r w:rsidR="00A02677">
        <w:rPr>
          <w:rFonts w:ascii="Times New Roman" w:hAnsi="Times New Roman"/>
          <w:sz w:val="24"/>
          <w:szCs w:val="24"/>
        </w:rPr>
        <w:t>food</w:t>
      </w:r>
      <w:r w:rsidR="006C1B1B" w:rsidRPr="00B530BB">
        <w:rPr>
          <w:rFonts w:ascii="Times New Roman" w:hAnsi="Times New Roman"/>
          <w:sz w:val="24"/>
          <w:szCs w:val="24"/>
        </w:rPr>
        <w:t xml:space="preserve">.  </w:t>
      </w:r>
      <w:r w:rsidR="00633E61" w:rsidRPr="00B530BB">
        <w:rPr>
          <w:rFonts w:ascii="Times New Roman" w:hAnsi="Times New Roman"/>
          <w:sz w:val="24"/>
          <w:szCs w:val="24"/>
        </w:rPr>
        <w:t>S</w:t>
      </w:r>
      <w:r w:rsidR="006C1B1B" w:rsidRPr="00B530BB">
        <w:rPr>
          <w:rFonts w:ascii="Times New Roman" w:hAnsi="Times New Roman"/>
          <w:sz w:val="24"/>
          <w:szCs w:val="24"/>
        </w:rPr>
        <w:t>everal studies reported consumers defin</w:t>
      </w:r>
      <w:r w:rsidR="00B82BA5" w:rsidRPr="00B530BB">
        <w:rPr>
          <w:rFonts w:ascii="Times New Roman" w:hAnsi="Times New Roman"/>
          <w:sz w:val="24"/>
          <w:szCs w:val="24"/>
        </w:rPr>
        <w:t>ing</w:t>
      </w:r>
      <w:r w:rsidR="006C1B1B" w:rsidRPr="00B530BB">
        <w:rPr>
          <w:rFonts w:ascii="Times New Roman" w:hAnsi="Times New Roman"/>
          <w:sz w:val="24"/>
          <w:szCs w:val="24"/>
        </w:rPr>
        <w:t xml:space="preserve"> “local food” as food produced within 30 miles </w:t>
      </w:r>
      <w:r w:rsidR="00A02677">
        <w:rPr>
          <w:rFonts w:ascii="Times New Roman" w:hAnsi="Times New Roman"/>
          <w:sz w:val="24"/>
          <w:szCs w:val="24"/>
        </w:rPr>
        <w:t xml:space="preserve">(i.e. approximately 45 kms) </w:t>
      </w:r>
      <w:r w:rsidR="006C1B1B" w:rsidRPr="00B530BB">
        <w:rPr>
          <w:rFonts w:ascii="Times New Roman" w:hAnsi="Times New Roman"/>
          <w:sz w:val="24"/>
          <w:szCs w:val="24"/>
        </w:rPr>
        <w:t xml:space="preserve">of the point of sale </w:t>
      </w:r>
      <w:r w:rsidR="006C1B1B" w:rsidRPr="00B530BB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PEVuZE5vdGU+PENpdGU+PEF1dGhvcj5QZWFyc29uPC9BdXRob3I+PFllYXI+MjAxMTwvWWVhcj48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</w:fldData>
        </w:fldChar>
      </w:r>
      <w:r w:rsidR="006C1B1B" w:rsidRPr="00B530BB">
        <w:rPr>
          <w:rFonts w:ascii="Times New Roman" w:hAnsi="Times New Roman"/>
          <w:sz w:val="24"/>
          <w:szCs w:val="24"/>
        </w:rPr>
        <w:instrText xml:space="preserve"> ADDIN EN.CITE </w:instrText>
      </w:r>
      <w:r w:rsidR="006C1B1B" w:rsidRPr="00B530BB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PEVuZE5vdGU+PENpdGU+PEF1dGhvcj5QZWFyc29uPC9BdXRob3I+PFllYXI+MjAxMTwvWWVhcj48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</w:fldData>
        </w:fldChar>
      </w:r>
      <w:r w:rsidR="006C1B1B" w:rsidRPr="00B530BB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6C1B1B" w:rsidRPr="00B530BB">
        <w:rPr>
          <w:rFonts w:ascii="Times New Roman" w:hAnsi="Times New Roman"/>
          <w:sz w:val="24"/>
          <w:szCs w:val="24"/>
        </w:rPr>
      </w:r>
      <w:r w:rsidR="006C1B1B" w:rsidRPr="00B530BB">
        <w:rPr>
          <w:rFonts w:ascii="Times New Roman" w:hAnsi="Times New Roman"/>
          <w:sz w:val="24"/>
          <w:szCs w:val="24"/>
        </w:rPr>
        <w:fldChar w:fldCharType="end"/>
      </w:r>
      <w:r w:rsidR="006C1B1B" w:rsidRPr="00B530BB">
        <w:rPr>
          <w:rFonts w:ascii="Times New Roman" w:hAnsi="Times New Roman"/>
          <w:sz w:val="24"/>
          <w:szCs w:val="24"/>
        </w:rPr>
      </w:r>
      <w:r w:rsidR="006C1B1B" w:rsidRPr="00B530BB">
        <w:rPr>
          <w:rFonts w:ascii="Times New Roman" w:hAnsi="Times New Roman"/>
          <w:sz w:val="24"/>
          <w:szCs w:val="24"/>
        </w:rPr>
        <w:fldChar w:fldCharType="separate"/>
      </w:r>
      <w:r w:rsidR="006C1B1B" w:rsidRPr="00B530BB">
        <w:rPr>
          <w:rFonts w:ascii="Times New Roman" w:hAnsi="Times New Roman"/>
          <w:noProof/>
          <w:sz w:val="24"/>
          <w:szCs w:val="24"/>
        </w:rPr>
        <w:t>(Pearson et al., 2011, ICF Consulting Services, 2016, Campaign to Protect Rural England, 2012)</w:t>
      </w:r>
      <w:r w:rsidR="006C1B1B" w:rsidRPr="00B530BB">
        <w:rPr>
          <w:rFonts w:ascii="Times New Roman" w:hAnsi="Times New Roman"/>
          <w:sz w:val="24"/>
          <w:szCs w:val="24"/>
        </w:rPr>
        <w:fldChar w:fldCharType="end"/>
      </w:r>
      <w:r w:rsidR="006C1B1B" w:rsidRPr="00B530BB">
        <w:rPr>
          <w:rFonts w:ascii="Times New Roman" w:hAnsi="Times New Roman"/>
          <w:sz w:val="24"/>
          <w:szCs w:val="24"/>
        </w:rPr>
        <w:t>.</w:t>
      </w:r>
    </w:p>
    <w:p w14:paraId="40CDF727" w14:textId="77777777" w:rsidR="00E67D35" w:rsidRPr="00B530BB" w:rsidRDefault="00E67D35" w:rsidP="002A0139">
      <w:pPr>
        <w:spacing w:after="200" w:line="36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B530BB">
        <w:rPr>
          <w:rFonts w:ascii="Times New Roman" w:eastAsia="Calibri" w:hAnsi="Times New Roman"/>
          <w:sz w:val="24"/>
          <w:szCs w:val="24"/>
          <w:lang w:val="en-US"/>
        </w:rPr>
        <w:br w:type="page"/>
      </w:r>
    </w:p>
    <w:p w14:paraId="388F575A" w14:textId="2CBB05B8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65502825"/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Figure 2.  The location of the abattoirs offering private kill services in the UK in August </w:t>
      </w:r>
      <w:r w:rsidRPr="00B530BB">
        <w:rPr>
          <w:rFonts w:ascii="Times New Roman" w:hAnsi="Times New Roman" w:cs="Times New Roman"/>
          <w:i/>
          <w:iCs/>
          <w:sz w:val="24"/>
          <w:szCs w:val="24"/>
        </w:rPr>
        <w:t xml:space="preserve">2020 with </w:t>
      </w:r>
      <w:r w:rsidR="00DB0146" w:rsidRPr="00B530BB">
        <w:rPr>
          <w:rFonts w:ascii="Times New Roman" w:hAnsi="Times New Roman" w:cs="Times New Roman"/>
          <w:i/>
          <w:iCs/>
          <w:sz w:val="24"/>
          <w:szCs w:val="24"/>
        </w:rPr>
        <w:t>45km</w:t>
      </w:r>
      <w:r w:rsidRPr="00B530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00E0" w:rsidRPr="00B530BB">
        <w:rPr>
          <w:rFonts w:ascii="Times New Roman" w:hAnsi="Times New Roman" w:cs="Times New Roman"/>
          <w:i/>
          <w:iCs/>
          <w:sz w:val="24"/>
          <w:szCs w:val="24"/>
        </w:rPr>
        <w:t>buffer zones</w:t>
      </w:r>
      <w:r w:rsidRPr="00B530B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0"/>
    <w:p w14:paraId="6E16FCC5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0B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5682394" wp14:editId="1729D7B5">
            <wp:simplePos x="0" y="0"/>
            <wp:positionH relativeFrom="column">
              <wp:posOffset>476250</wp:posOffset>
            </wp:positionH>
            <wp:positionV relativeFrom="paragraph">
              <wp:posOffset>38735</wp:posOffset>
            </wp:positionV>
            <wp:extent cx="4837430" cy="6905625"/>
            <wp:effectExtent l="0" t="0" r="1270" b="9525"/>
            <wp:wrapTight wrapText="bothSides">
              <wp:wrapPolygon edited="0">
                <wp:start x="0" y="0"/>
                <wp:lineTo x="0" y="21570"/>
                <wp:lineTo x="21521" y="21570"/>
                <wp:lineTo x="2152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43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C130C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A3620A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F4F9B1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1BE6E5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75D91B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16824E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1A53B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7C996E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16F85C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GB"/>
        </w:rPr>
      </w:pPr>
    </w:p>
    <w:p w14:paraId="3C42D4BD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81F1D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E8E2C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A12AE3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F73ECD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310D85" w14:textId="77777777" w:rsidR="00E67D35" w:rsidRPr="00B530BB" w:rsidRDefault="00E67D35" w:rsidP="002A0139">
      <w:pPr>
        <w:pStyle w:val="BodyText"/>
        <w:kinsoku w:val="0"/>
        <w:overflowPunct w:val="0"/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13C8C2" w14:textId="3AE0995C" w:rsidR="00CC69C8" w:rsidRPr="00B530BB" w:rsidRDefault="00E67D35" w:rsidP="002A0139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B530BB">
        <w:rPr>
          <w:rFonts w:ascii="Times New Roman" w:hAnsi="Times New Roman"/>
          <w:sz w:val="24"/>
          <w:szCs w:val="24"/>
        </w:rPr>
        <w:br w:type="page"/>
      </w:r>
    </w:p>
    <w:p w14:paraId="33EF58A1" w14:textId="77777777" w:rsidR="00CC69C8" w:rsidRPr="00B530BB" w:rsidRDefault="00CC69C8" w:rsidP="002A0139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p w14:paraId="0027DB67" w14:textId="689AEE2C" w:rsidR="00CC69C8" w:rsidRPr="00B530BB" w:rsidRDefault="00CC69C8" w:rsidP="002A0139">
      <w:pPr>
        <w:spacing w:after="24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Figure 3. </w:t>
      </w:r>
      <w:r w:rsidR="00D1786F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5A0116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>The c</w:t>
      </w: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umulative distribution </w:t>
      </w:r>
      <w:r w:rsidR="00D1786F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of </w:t>
      </w:r>
      <w:r w:rsidR="005A0116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the percentage of livestock and the </w:t>
      </w: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distance </w:t>
      </w:r>
      <w:r w:rsidR="00D1786F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travelled from </w:t>
      </w: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>farm to abattoir</w:t>
      </w:r>
      <w:r w:rsidR="00D1786F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for private kill slaughter</w:t>
      </w: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1418B9C4" w14:textId="77777777" w:rsidR="00CC69C8" w:rsidRPr="00B530BB" w:rsidRDefault="00CC69C8" w:rsidP="002A0139">
      <w:pPr>
        <w:spacing w:after="24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530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66D3F3" wp14:editId="33DE0E09">
            <wp:extent cx="4496486" cy="2772461"/>
            <wp:effectExtent l="0" t="0" r="0" b="889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83FE170E-E01B-43A2-8F81-42610347BD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39B424A" w14:textId="77777777" w:rsidR="00CC69C8" w:rsidRPr="00B530BB" w:rsidRDefault="00CC69C8" w:rsidP="002A0139">
      <w:pPr>
        <w:spacing w:after="20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2E25F6A" w14:textId="012733C0" w:rsidR="00CC69C8" w:rsidRPr="00B530BB" w:rsidRDefault="00CC69C8" w:rsidP="002A0139">
      <w:pPr>
        <w:spacing w:after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Figure 4. </w:t>
      </w:r>
      <w:r w:rsidR="005A0116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>The c</w:t>
      </w: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umulative distribution of </w:t>
      </w:r>
      <w:r w:rsidR="00D1786F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the </w:t>
      </w:r>
      <w:r w:rsidR="005A0116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percentage of </w:t>
      </w: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>farm</w:t>
      </w:r>
      <w:r w:rsidR="005A0116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>er and the distance from the farm</w:t>
      </w: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to abattoir</w:t>
      </w:r>
      <w:r w:rsidR="00D1786F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for private kill slaughter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1734798" w14:textId="77777777" w:rsidR="00CC69C8" w:rsidRPr="00B530BB" w:rsidRDefault="00CC69C8" w:rsidP="002A0139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319DF41" wp14:editId="129671FE">
            <wp:extent cx="5108677" cy="2867558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C65CDE4-2FCD-4F40-ADC1-AA5958B631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E8E3CC7" w14:textId="4ED24FC3" w:rsidR="00CC69C8" w:rsidRPr="00B530BB" w:rsidRDefault="00CC69C8" w:rsidP="002A0139">
      <w:pPr>
        <w:spacing w:after="200" w:line="360" w:lineRule="auto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hAnsi="Times New Roman"/>
          <w:sz w:val="24"/>
          <w:szCs w:val="24"/>
        </w:rPr>
        <w:br w:type="page"/>
      </w:r>
    </w:p>
    <w:p w14:paraId="165AE43F" w14:textId="63420329" w:rsidR="001F7395" w:rsidRPr="00B530BB" w:rsidRDefault="00966DDB" w:rsidP="002A0139">
      <w:pPr>
        <w:spacing w:after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0B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Table </w:t>
      </w:r>
      <w:r w:rsidR="00C01422" w:rsidRPr="00B530B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presents the geographic coverage of </w:t>
      </w:r>
      <w:r w:rsidR="00040C38">
        <w:rPr>
          <w:rFonts w:ascii="Times New Roman" w:hAnsi="Times New Roman"/>
          <w:color w:val="000000" w:themeColor="text1"/>
          <w:sz w:val="24"/>
          <w:szCs w:val="24"/>
        </w:rPr>
        <w:t>PK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services across the UK</w:t>
      </w:r>
      <w:r w:rsidR="001068D0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based on 45km buffer zones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1068D0" w:rsidRPr="00B530BB">
        <w:rPr>
          <w:rFonts w:ascii="Times New Roman" w:hAnsi="Times New Roman"/>
          <w:color w:val="000000" w:themeColor="text1"/>
          <w:sz w:val="24"/>
          <w:szCs w:val="24"/>
        </w:rPr>
        <w:t>It shows that i</w:t>
      </w:r>
      <w:r w:rsidR="00BC6B63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n August 2020, </w:t>
      </w:r>
      <w:r w:rsidR="001F7395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18.22% of the UK </w:t>
      </w:r>
      <w:r w:rsidR="001068D0" w:rsidRPr="00B530BB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44437D" w:rsidRPr="00B530BB">
        <w:rPr>
          <w:rFonts w:ascii="Times New Roman" w:hAnsi="Times New Roman"/>
          <w:color w:val="000000" w:themeColor="text1"/>
          <w:sz w:val="24"/>
          <w:szCs w:val="24"/>
        </w:rPr>
        <w:t>as</w:t>
      </w:r>
      <w:r w:rsidR="001068D0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437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further than </w:t>
      </w:r>
      <w:r w:rsidR="00DB0146" w:rsidRPr="00B530BB">
        <w:rPr>
          <w:rFonts w:ascii="Times New Roman" w:hAnsi="Times New Roman"/>
          <w:color w:val="000000" w:themeColor="text1"/>
          <w:sz w:val="24"/>
          <w:szCs w:val="24"/>
        </w:rPr>
        <w:t>45km</w:t>
      </w:r>
      <w:r w:rsidR="0044437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s from an abattoir offering </w:t>
      </w:r>
      <w:r w:rsidR="00040C38">
        <w:rPr>
          <w:rFonts w:ascii="Times New Roman" w:hAnsi="Times New Roman"/>
          <w:color w:val="000000" w:themeColor="text1"/>
          <w:sz w:val="24"/>
          <w:szCs w:val="24"/>
        </w:rPr>
        <w:t>PK</w:t>
      </w:r>
      <w:r w:rsidR="001F7395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68D0" w:rsidRPr="00B530BB">
        <w:rPr>
          <w:rFonts w:ascii="Times New Roman" w:hAnsi="Times New Roman"/>
          <w:color w:val="000000" w:themeColor="text1"/>
          <w:sz w:val="24"/>
          <w:szCs w:val="24"/>
        </w:rPr>
        <w:t>services</w:t>
      </w:r>
      <w:r w:rsidR="001F7395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, and 20.88% </w:t>
      </w:r>
      <w:r w:rsidR="001068D0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of the UK had 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only one abattoir </w:t>
      </w:r>
      <w:r w:rsidR="001068D0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providing 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>this service</w:t>
      </w:r>
      <w:r w:rsidR="0088225A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within this distance of the farm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F304E0" w14:textId="77777777" w:rsidR="001F7395" w:rsidRPr="00B530BB" w:rsidRDefault="001F7395" w:rsidP="002A0139">
      <w:pPr>
        <w:spacing w:after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0EE3DD" w14:textId="600E0FAB" w:rsidR="001F7395" w:rsidRPr="00B530BB" w:rsidRDefault="001F7395" w:rsidP="002A0139">
      <w:pPr>
        <w:pStyle w:val="BodyText"/>
        <w:kinsoku w:val="0"/>
        <w:overflowPunct w:val="0"/>
        <w:spacing w:after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Table </w:t>
      </w:r>
      <w:r w:rsidR="00B57E68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 The area (km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2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 and percentage of the UK without private kill abattoir provision</w:t>
      </w:r>
      <w:r w:rsidR="001068D0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covered by one, two and </w:t>
      </w:r>
      <w:r w:rsidR="001068D0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three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or more abattoirs (</w:t>
      </w:r>
      <w:r w:rsidR="001068D0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based on </w:t>
      </w:r>
      <w:r w:rsidR="00DB0146" w:rsidRPr="00B530BB">
        <w:rPr>
          <w:rFonts w:ascii="Times New Roman" w:hAnsi="Times New Roman" w:cs="Times New Roman"/>
          <w:i/>
          <w:iCs/>
          <w:sz w:val="24"/>
          <w:szCs w:val="24"/>
        </w:rPr>
        <w:t>45km</w:t>
      </w:r>
      <w:r w:rsidR="001068D0" w:rsidRPr="00B530BB">
        <w:rPr>
          <w:rFonts w:ascii="Times New Roman" w:hAnsi="Times New Roman" w:cs="Times New Roman"/>
          <w:i/>
          <w:iCs/>
          <w:sz w:val="24"/>
          <w:szCs w:val="24"/>
        </w:rPr>
        <w:t xml:space="preserve"> buffers</w:t>
      </w:r>
      <w:r w:rsidRPr="00B530BB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61"/>
        <w:gridCol w:w="3425"/>
      </w:tblGrid>
      <w:tr w:rsidR="001F7395" w:rsidRPr="00B530BB" w14:paraId="405510AA" w14:textId="77777777" w:rsidTr="00D75FD3">
        <w:trPr>
          <w:trHeight w:val="694"/>
          <w:jc w:val="center"/>
        </w:trPr>
        <w:tc>
          <w:tcPr>
            <w:tcW w:w="3823" w:type="dxa"/>
            <w:noWrap/>
            <w:vAlign w:val="center"/>
            <w:hideMark/>
          </w:tcPr>
          <w:p w14:paraId="33484AA3" w14:textId="7A05220E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0BB">
              <w:rPr>
                <w:rFonts w:ascii="Times New Roman" w:hAnsi="Times New Roman"/>
                <w:bCs/>
                <w:sz w:val="24"/>
                <w:szCs w:val="24"/>
              </w:rPr>
              <w:t>Number of private kill abattoirs</w:t>
            </w:r>
          </w:p>
        </w:tc>
        <w:tc>
          <w:tcPr>
            <w:tcW w:w="1961" w:type="dxa"/>
            <w:noWrap/>
            <w:vAlign w:val="center"/>
            <w:hideMark/>
          </w:tcPr>
          <w:p w14:paraId="77640F47" w14:textId="2E9608B6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0BB">
              <w:rPr>
                <w:rFonts w:ascii="Times New Roman" w:hAnsi="Times New Roman"/>
                <w:bCs/>
                <w:sz w:val="24"/>
                <w:szCs w:val="24"/>
              </w:rPr>
              <w:t xml:space="preserve">Area </w:t>
            </w:r>
            <w:r w:rsidR="003B6CC5" w:rsidRPr="00B530BB">
              <w:rPr>
                <w:rFonts w:ascii="Times New Roman" w:hAnsi="Times New Roman"/>
                <w:bCs/>
                <w:sz w:val="24"/>
                <w:szCs w:val="24"/>
              </w:rPr>
              <w:t xml:space="preserve">covered </w:t>
            </w:r>
            <w:r w:rsidRPr="00B530BB">
              <w:rPr>
                <w:rFonts w:ascii="Times New Roman" w:hAnsi="Times New Roman"/>
                <w:bCs/>
                <w:sz w:val="24"/>
                <w:szCs w:val="24"/>
              </w:rPr>
              <w:t>(km</w:t>
            </w:r>
            <w:r w:rsidRPr="00B530BB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B530B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425" w:type="dxa"/>
            <w:noWrap/>
            <w:vAlign w:val="center"/>
            <w:hideMark/>
          </w:tcPr>
          <w:p w14:paraId="54AB07BF" w14:textId="03058AF6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0BB">
              <w:rPr>
                <w:rFonts w:ascii="Times New Roman" w:hAnsi="Times New Roman"/>
                <w:bCs/>
                <w:sz w:val="24"/>
                <w:szCs w:val="24"/>
              </w:rPr>
              <w:t xml:space="preserve">% of </w:t>
            </w:r>
            <w:r w:rsidR="003B6CC5" w:rsidRPr="00B530BB">
              <w:rPr>
                <w:rFonts w:ascii="Times New Roman" w:hAnsi="Times New Roman"/>
                <w:bCs/>
                <w:sz w:val="24"/>
                <w:szCs w:val="24"/>
              </w:rPr>
              <w:t>UK</w:t>
            </w:r>
            <w:r w:rsidRPr="00B530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6CC5" w:rsidRPr="00B530BB">
              <w:rPr>
                <w:rFonts w:ascii="Times New Roman" w:hAnsi="Times New Roman"/>
                <w:bCs/>
                <w:sz w:val="24"/>
                <w:szCs w:val="24"/>
              </w:rPr>
              <w:t>covered</w:t>
            </w:r>
            <w:r w:rsidRPr="00B530BB">
              <w:rPr>
                <w:rFonts w:ascii="Times New Roman" w:hAnsi="Times New Roman"/>
                <w:bCs/>
                <w:sz w:val="24"/>
                <w:szCs w:val="24"/>
              </w:rPr>
              <w:t xml:space="preserve"> by </w:t>
            </w:r>
            <w:r w:rsidR="003B6CC5" w:rsidRPr="00B530BB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B530BB">
              <w:rPr>
                <w:rFonts w:ascii="Times New Roman" w:hAnsi="Times New Roman"/>
                <w:bCs/>
                <w:sz w:val="24"/>
                <w:szCs w:val="24"/>
              </w:rPr>
              <w:t>number of abattoirs in column 1</w:t>
            </w:r>
          </w:p>
        </w:tc>
      </w:tr>
      <w:tr w:rsidR="001F7395" w:rsidRPr="00B530BB" w14:paraId="3AFBBF4E" w14:textId="77777777" w:rsidTr="00D75FD3">
        <w:trPr>
          <w:trHeight w:val="322"/>
          <w:jc w:val="center"/>
        </w:trPr>
        <w:tc>
          <w:tcPr>
            <w:tcW w:w="3823" w:type="dxa"/>
            <w:noWrap/>
            <w:vAlign w:val="bottom"/>
            <w:hideMark/>
          </w:tcPr>
          <w:p w14:paraId="1A6D2147" w14:textId="77777777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0B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61" w:type="dxa"/>
            <w:noWrap/>
            <w:vAlign w:val="bottom"/>
            <w:hideMark/>
          </w:tcPr>
          <w:p w14:paraId="67A25A43" w14:textId="77777777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0BB">
              <w:rPr>
                <w:rFonts w:ascii="Times New Roman" w:hAnsi="Times New Roman"/>
                <w:sz w:val="24"/>
                <w:szCs w:val="24"/>
              </w:rPr>
              <w:t>44,510</w:t>
            </w:r>
          </w:p>
        </w:tc>
        <w:tc>
          <w:tcPr>
            <w:tcW w:w="3425" w:type="dxa"/>
            <w:noWrap/>
            <w:vAlign w:val="bottom"/>
            <w:hideMark/>
          </w:tcPr>
          <w:p w14:paraId="5A6DA264" w14:textId="77777777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0BB">
              <w:rPr>
                <w:rFonts w:ascii="Times New Roman" w:hAnsi="Times New Roman"/>
                <w:sz w:val="24"/>
                <w:szCs w:val="24"/>
              </w:rPr>
              <w:t>18.22%</w:t>
            </w:r>
          </w:p>
        </w:tc>
      </w:tr>
      <w:tr w:rsidR="001F7395" w:rsidRPr="00B530BB" w14:paraId="697A5F57" w14:textId="77777777" w:rsidTr="00D75FD3">
        <w:trPr>
          <w:trHeight w:val="319"/>
          <w:jc w:val="center"/>
        </w:trPr>
        <w:tc>
          <w:tcPr>
            <w:tcW w:w="3823" w:type="dxa"/>
            <w:noWrap/>
            <w:vAlign w:val="bottom"/>
            <w:hideMark/>
          </w:tcPr>
          <w:p w14:paraId="66E6D92B" w14:textId="77777777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0B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61" w:type="dxa"/>
            <w:noWrap/>
            <w:vAlign w:val="bottom"/>
            <w:hideMark/>
          </w:tcPr>
          <w:p w14:paraId="41262B8D" w14:textId="77777777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0BB">
              <w:rPr>
                <w:rFonts w:ascii="Times New Roman" w:hAnsi="Times New Roman"/>
                <w:sz w:val="24"/>
                <w:szCs w:val="24"/>
              </w:rPr>
              <w:t>50,989</w:t>
            </w:r>
          </w:p>
        </w:tc>
        <w:tc>
          <w:tcPr>
            <w:tcW w:w="3425" w:type="dxa"/>
            <w:noWrap/>
            <w:vAlign w:val="bottom"/>
            <w:hideMark/>
          </w:tcPr>
          <w:p w14:paraId="70618D65" w14:textId="77777777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0BB">
              <w:rPr>
                <w:rFonts w:ascii="Times New Roman" w:hAnsi="Times New Roman"/>
                <w:sz w:val="24"/>
                <w:szCs w:val="24"/>
              </w:rPr>
              <w:t>20.88%</w:t>
            </w:r>
          </w:p>
        </w:tc>
      </w:tr>
      <w:tr w:rsidR="001F7395" w:rsidRPr="00B530BB" w14:paraId="13857AD6" w14:textId="77777777" w:rsidTr="00D75FD3">
        <w:trPr>
          <w:trHeight w:val="233"/>
          <w:jc w:val="center"/>
        </w:trPr>
        <w:tc>
          <w:tcPr>
            <w:tcW w:w="3823" w:type="dxa"/>
            <w:noWrap/>
            <w:vAlign w:val="bottom"/>
            <w:hideMark/>
          </w:tcPr>
          <w:p w14:paraId="16A86BFE" w14:textId="77777777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0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61" w:type="dxa"/>
            <w:noWrap/>
            <w:vAlign w:val="bottom"/>
            <w:hideMark/>
          </w:tcPr>
          <w:p w14:paraId="5643AB84" w14:textId="77777777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0BB">
              <w:rPr>
                <w:rFonts w:ascii="Times New Roman" w:hAnsi="Times New Roman"/>
                <w:sz w:val="24"/>
                <w:szCs w:val="24"/>
              </w:rPr>
              <w:t>33,809</w:t>
            </w:r>
          </w:p>
        </w:tc>
        <w:tc>
          <w:tcPr>
            <w:tcW w:w="3425" w:type="dxa"/>
            <w:noWrap/>
            <w:vAlign w:val="bottom"/>
            <w:hideMark/>
          </w:tcPr>
          <w:p w14:paraId="7D17C24A" w14:textId="77777777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0BB">
              <w:rPr>
                <w:rFonts w:ascii="Times New Roman" w:hAnsi="Times New Roman"/>
                <w:sz w:val="24"/>
                <w:szCs w:val="24"/>
              </w:rPr>
              <w:t>13.84%</w:t>
            </w:r>
          </w:p>
        </w:tc>
      </w:tr>
      <w:tr w:rsidR="001F7395" w:rsidRPr="00B530BB" w14:paraId="617E7677" w14:textId="77777777" w:rsidTr="00D75FD3">
        <w:trPr>
          <w:trHeight w:val="279"/>
          <w:jc w:val="center"/>
        </w:trPr>
        <w:tc>
          <w:tcPr>
            <w:tcW w:w="3823" w:type="dxa"/>
            <w:noWrap/>
            <w:vAlign w:val="bottom"/>
            <w:hideMark/>
          </w:tcPr>
          <w:p w14:paraId="02C6113A" w14:textId="77777777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0BB">
              <w:rPr>
                <w:rFonts w:ascii="Times New Roman" w:hAnsi="Times New Roman"/>
                <w:bCs/>
                <w:sz w:val="24"/>
                <w:szCs w:val="24"/>
              </w:rPr>
              <w:t>3 or more</w:t>
            </w:r>
          </w:p>
        </w:tc>
        <w:tc>
          <w:tcPr>
            <w:tcW w:w="1961" w:type="dxa"/>
            <w:noWrap/>
            <w:vAlign w:val="bottom"/>
            <w:hideMark/>
          </w:tcPr>
          <w:p w14:paraId="038F9B5E" w14:textId="7184D492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0BB">
              <w:rPr>
                <w:rFonts w:ascii="Times New Roman" w:hAnsi="Times New Roman"/>
                <w:sz w:val="24"/>
                <w:szCs w:val="24"/>
              </w:rPr>
              <w:t>114</w:t>
            </w:r>
            <w:r w:rsidR="00E3478A" w:rsidRPr="00B530BB">
              <w:rPr>
                <w:rFonts w:ascii="Times New Roman" w:hAnsi="Times New Roman"/>
                <w:sz w:val="24"/>
                <w:szCs w:val="24"/>
              </w:rPr>
              <w:t>,</w:t>
            </w:r>
            <w:r w:rsidRPr="00B530BB"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3425" w:type="dxa"/>
            <w:noWrap/>
            <w:vAlign w:val="bottom"/>
            <w:hideMark/>
          </w:tcPr>
          <w:p w14:paraId="37480898" w14:textId="77777777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0BB">
              <w:rPr>
                <w:rFonts w:ascii="Times New Roman" w:hAnsi="Times New Roman"/>
                <w:sz w:val="24"/>
                <w:szCs w:val="24"/>
              </w:rPr>
              <w:t>47.05%</w:t>
            </w:r>
          </w:p>
        </w:tc>
      </w:tr>
      <w:tr w:rsidR="001F7395" w:rsidRPr="00B530BB" w14:paraId="7545E06F" w14:textId="77777777" w:rsidTr="00D75FD3">
        <w:trPr>
          <w:trHeight w:val="330"/>
          <w:jc w:val="center"/>
        </w:trPr>
        <w:tc>
          <w:tcPr>
            <w:tcW w:w="3823" w:type="dxa"/>
            <w:noWrap/>
            <w:vAlign w:val="bottom"/>
            <w:hideMark/>
          </w:tcPr>
          <w:p w14:paraId="4B939A2E" w14:textId="77777777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530BB">
              <w:rPr>
                <w:rFonts w:ascii="Times New Roman" w:hAnsi="Times New Roman"/>
                <w:b/>
                <w:iCs/>
                <w:sz w:val="24"/>
                <w:szCs w:val="24"/>
              </w:rPr>
              <w:t>Total</w:t>
            </w:r>
          </w:p>
        </w:tc>
        <w:tc>
          <w:tcPr>
            <w:tcW w:w="1961" w:type="dxa"/>
            <w:noWrap/>
            <w:vAlign w:val="bottom"/>
            <w:hideMark/>
          </w:tcPr>
          <w:p w14:paraId="788EC693" w14:textId="7EA9334A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530BB">
              <w:rPr>
                <w:rFonts w:ascii="Times New Roman" w:hAnsi="Times New Roman"/>
                <w:b/>
                <w:iCs/>
                <w:sz w:val="24"/>
                <w:szCs w:val="24"/>
              </w:rPr>
              <w:t>244</w:t>
            </w:r>
            <w:r w:rsidR="00E3478A" w:rsidRPr="00B530BB">
              <w:rPr>
                <w:rFonts w:ascii="Times New Roman" w:hAnsi="Times New Roman"/>
                <w:b/>
                <w:iCs/>
                <w:sz w:val="24"/>
                <w:szCs w:val="24"/>
              </w:rPr>
              <w:t>,</w:t>
            </w:r>
            <w:r w:rsidRPr="00B530BB">
              <w:rPr>
                <w:rFonts w:ascii="Times New Roman" w:hAnsi="Times New Roman"/>
                <w:b/>
                <w:iCs/>
                <w:sz w:val="24"/>
                <w:szCs w:val="24"/>
              </w:rPr>
              <w:t>226</w:t>
            </w:r>
          </w:p>
        </w:tc>
        <w:tc>
          <w:tcPr>
            <w:tcW w:w="3425" w:type="dxa"/>
            <w:noWrap/>
            <w:vAlign w:val="bottom"/>
            <w:hideMark/>
          </w:tcPr>
          <w:p w14:paraId="1864FCE0" w14:textId="77777777" w:rsidR="001F7395" w:rsidRPr="00B530BB" w:rsidRDefault="001F7395" w:rsidP="005C5D3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0BB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14BFF1F8" w14:textId="77777777" w:rsidR="001F7395" w:rsidRPr="00B530BB" w:rsidRDefault="001F7395" w:rsidP="002A0139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14:paraId="1329F3B0" w14:textId="72517FCA" w:rsidR="00B31C56" w:rsidRPr="00B530BB" w:rsidRDefault="007A6976" w:rsidP="002A0139">
      <w:pPr>
        <w:spacing w:after="24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327642"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A31DBC"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="007D302B">
        <w:rPr>
          <w:rFonts w:ascii="Times New Roman" w:hAnsi="Times New Roman"/>
          <w:b/>
          <w:bCs/>
          <w:color w:val="000000" w:themeColor="text1"/>
          <w:sz w:val="24"/>
          <w:szCs w:val="24"/>
        </w:rPr>
        <w:t>n estimate</w:t>
      </w:r>
      <w:r w:rsidR="00385DB8"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of </w:t>
      </w:r>
      <w:r w:rsidR="00327642"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>t</w:t>
      </w:r>
      <w:r w:rsidR="006A26F6"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>he robustness of the</w:t>
      </w:r>
      <w:r w:rsidR="00385DB8"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6A26F6"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private kill </w:t>
      </w:r>
      <w:r w:rsidR="007D302B">
        <w:rPr>
          <w:rFonts w:ascii="Times New Roman" w:hAnsi="Times New Roman"/>
          <w:b/>
          <w:bCs/>
          <w:color w:val="000000" w:themeColor="text1"/>
          <w:sz w:val="24"/>
          <w:szCs w:val="24"/>
        </w:rPr>
        <w:t>network</w:t>
      </w:r>
      <w:r w:rsidR="00A31DBC"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using Monte</w:t>
      </w:r>
      <w:r w:rsidR="00410BF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A31DBC" w:rsidRPr="00B530BB">
        <w:rPr>
          <w:rFonts w:ascii="Times New Roman" w:hAnsi="Times New Roman"/>
          <w:b/>
          <w:bCs/>
          <w:color w:val="000000" w:themeColor="text1"/>
          <w:sz w:val="24"/>
          <w:szCs w:val="24"/>
        </w:rPr>
        <w:t>Carlo simulations</w:t>
      </w:r>
    </w:p>
    <w:p w14:paraId="115E35C1" w14:textId="5CD6544F" w:rsidR="009C74C5" w:rsidRPr="00B530BB" w:rsidRDefault="00410BFA" w:rsidP="002A0139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This study uses M</w:t>
      </w:r>
      <w:r w:rsidR="00966DDB" w:rsidRPr="00B530BB">
        <w:rPr>
          <w:rFonts w:ascii="Times New Roman" w:eastAsia="Calibri" w:hAnsi="Times New Roman"/>
          <w:sz w:val="24"/>
          <w:szCs w:val="24"/>
          <w:lang w:val="en-US"/>
        </w:rPr>
        <w:t>onte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966DDB" w:rsidRPr="00B530BB">
        <w:rPr>
          <w:rFonts w:ascii="Times New Roman" w:eastAsia="Calibri" w:hAnsi="Times New Roman"/>
          <w:sz w:val="24"/>
          <w:szCs w:val="24"/>
          <w:lang w:val="en-US"/>
        </w:rPr>
        <w:t>Carlo simulation</w:t>
      </w:r>
      <w:r w:rsidR="00C0020A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s 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are used to </w:t>
      </w:r>
      <w:r w:rsidR="00966DDB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randomly remove abattoirs from the underlying population 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to allow the </w:t>
      </w:r>
      <w:r w:rsidR="008F3F1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geographical coverage of </w:t>
      </w:r>
      <w:r w:rsidR="00040C38">
        <w:rPr>
          <w:rFonts w:ascii="Times New Roman" w:eastAsia="Calibri" w:hAnsi="Times New Roman"/>
          <w:sz w:val="24"/>
          <w:szCs w:val="24"/>
          <w:lang w:val="en-US"/>
        </w:rPr>
        <w:t>PK</w:t>
      </w:r>
      <w:r w:rsidR="008F3F1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services </w:t>
      </w:r>
      <w:r>
        <w:rPr>
          <w:rFonts w:ascii="Times New Roman" w:eastAsia="Calibri" w:hAnsi="Times New Roman"/>
          <w:sz w:val="24"/>
          <w:szCs w:val="24"/>
          <w:lang w:val="en-US"/>
        </w:rPr>
        <w:t>provided</w:t>
      </w:r>
      <w:r w:rsidR="00E171A9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by t</w:t>
      </w:r>
      <w:r w:rsidR="00966DDB" w:rsidRPr="00B530BB">
        <w:rPr>
          <w:rFonts w:ascii="Times New Roman" w:eastAsia="Calibri" w:hAnsi="Times New Roman"/>
          <w:sz w:val="24"/>
          <w:szCs w:val="24"/>
          <w:lang w:val="en-US"/>
        </w:rPr>
        <w:t>he remaining abattoirs</w:t>
      </w:r>
      <w:r w:rsidR="007C191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to be calculated and </w:t>
      </w:r>
      <w:r w:rsidR="007C191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compared again the </w:t>
      </w:r>
      <w:r w:rsidR="00966DDB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baseline coverage </w:t>
      </w:r>
      <w:r w:rsidR="007C191D" w:rsidRPr="00B530BB">
        <w:rPr>
          <w:rFonts w:ascii="Times New Roman" w:eastAsia="Calibri" w:hAnsi="Times New Roman"/>
          <w:sz w:val="24"/>
          <w:szCs w:val="24"/>
          <w:lang w:val="en-US"/>
        </w:rPr>
        <w:t>in August 2020 (</w:t>
      </w:r>
      <w:r w:rsidR="00FA4C13">
        <w:rPr>
          <w:rFonts w:ascii="Times New Roman" w:eastAsia="Calibri" w:hAnsi="Times New Roman"/>
          <w:sz w:val="24"/>
          <w:szCs w:val="24"/>
          <w:lang w:val="en-US"/>
        </w:rPr>
        <w:t xml:space="preserve">shown in </w:t>
      </w:r>
      <w:r w:rsidR="00C0020A" w:rsidRPr="00B530BB">
        <w:rPr>
          <w:rFonts w:ascii="Times New Roman" w:eastAsia="Calibri" w:hAnsi="Times New Roman"/>
          <w:sz w:val="24"/>
          <w:szCs w:val="24"/>
          <w:lang w:val="en-US"/>
        </w:rPr>
        <w:t>Table 1</w:t>
      </w:r>
      <w:r w:rsidR="007C191D" w:rsidRPr="00B530BB">
        <w:rPr>
          <w:rFonts w:ascii="Times New Roman" w:eastAsia="Calibri" w:hAnsi="Times New Roman"/>
          <w:sz w:val="24"/>
          <w:szCs w:val="24"/>
          <w:lang w:val="en-US"/>
        </w:rPr>
        <w:t>)</w:t>
      </w:r>
      <w:r w:rsidR="008F3F1C" w:rsidRPr="00B530BB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801874">
        <w:rPr>
          <w:rFonts w:ascii="Times New Roman" w:eastAsia="Calibri" w:hAnsi="Times New Roman"/>
          <w:sz w:val="24"/>
          <w:szCs w:val="24"/>
          <w:lang w:val="en-US"/>
        </w:rPr>
        <w:t xml:space="preserve">  </w:t>
      </w:r>
      <w:r w:rsidR="00966DDB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The number of abattoirs removed from the </w:t>
      </w:r>
      <w:r w:rsidR="00E171A9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August 2020 </w:t>
      </w:r>
      <w:r w:rsidR="00966DDB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population </w:t>
      </w:r>
      <w:r w:rsidR="00801874">
        <w:rPr>
          <w:rFonts w:ascii="Times New Roman" w:hAnsi="Times New Roman"/>
          <w:color w:val="000000" w:themeColor="text1"/>
          <w:sz w:val="24"/>
          <w:szCs w:val="24"/>
        </w:rPr>
        <w:t xml:space="preserve">was </w:t>
      </w:r>
      <w:r w:rsidR="00E171A9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derived from the rate of closure of </w:t>
      </w:r>
      <w:r w:rsidR="00040C38">
        <w:rPr>
          <w:rFonts w:ascii="Times New Roman" w:hAnsi="Times New Roman"/>
          <w:color w:val="000000" w:themeColor="text1"/>
          <w:sz w:val="24"/>
          <w:szCs w:val="24"/>
        </w:rPr>
        <w:t>PK</w:t>
      </w:r>
      <w:r w:rsidR="00E171A9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abattoirs in the </w:t>
      </w:r>
      <w:r w:rsidR="00186066" w:rsidRPr="00B530BB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E171A9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months to</w:t>
      </w:r>
      <w:r w:rsidR="00B83C51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August 2020</w:t>
      </w:r>
      <w:r w:rsidR="00E171A9" w:rsidRPr="00B530BB">
        <w:rPr>
          <w:rFonts w:ascii="Times New Roman" w:hAnsi="Times New Roman"/>
          <w:color w:val="000000" w:themeColor="text1"/>
          <w:sz w:val="24"/>
          <w:szCs w:val="24"/>
        </w:rPr>
        <w:t>, when t</w:t>
      </w:r>
      <w:r w:rsidR="00C3403A" w:rsidRPr="00B530BB">
        <w:rPr>
          <w:rFonts w:ascii="Times New Roman" w:hAnsi="Times New Roman"/>
          <w:sz w:val="24"/>
          <w:szCs w:val="24"/>
        </w:rPr>
        <w:t>hirteen</w:t>
      </w:r>
      <w:r w:rsidR="00B83C51" w:rsidRPr="00B530BB">
        <w:rPr>
          <w:rFonts w:ascii="Times New Roman" w:hAnsi="Times New Roman"/>
          <w:sz w:val="24"/>
          <w:szCs w:val="24"/>
        </w:rPr>
        <w:t xml:space="preserve"> </w:t>
      </w:r>
      <w:r w:rsidR="006A26F6" w:rsidRPr="00B530BB">
        <w:rPr>
          <w:rFonts w:ascii="Times New Roman" w:hAnsi="Times New Roman"/>
          <w:sz w:val="24"/>
          <w:szCs w:val="24"/>
        </w:rPr>
        <w:t>a</w:t>
      </w:r>
      <w:r w:rsidR="006A26F6" w:rsidRPr="00B530BB">
        <w:rPr>
          <w:rFonts w:ascii="Times New Roman" w:hAnsi="Times New Roman"/>
          <w:color w:val="000000" w:themeColor="text1"/>
          <w:sz w:val="24"/>
          <w:szCs w:val="24"/>
        </w:rPr>
        <w:t>battoirs</w:t>
      </w:r>
      <w:r w:rsidR="00C0020A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FA4C13">
        <w:rPr>
          <w:rFonts w:ascii="Times New Roman" w:hAnsi="Times New Roman"/>
          <w:color w:val="000000" w:themeColor="text1"/>
          <w:sz w:val="24"/>
          <w:szCs w:val="24"/>
        </w:rPr>
        <w:t xml:space="preserve">some </w:t>
      </w:r>
      <w:r w:rsidR="00B83C51" w:rsidRPr="00B530BB">
        <w:rPr>
          <w:rFonts w:ascii="Times New Roman" w:hAnsi="Times New Roman"/>
          <w:color w:val="000000" w:themeColor="text1"/>
          <w:sz w:val="24"/>
          <w:szCs w:val="24"/>
        </w:rPr>
        <w:t>9%</w:t>
      </w:r>
      <w:r w:rsidR="005A5F53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of the underlying population</w:t>
      </w:r>
      <w:r w:rsidR="00C0020A" w:rsidRPr="00B530B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171A9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ceased trading</w:t>
      </w:r>
      <w:r w:rsidR="00B83C51" w:rsidRPr="00B530B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191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C819A7" w:rsidRPr="00B530BB">
        <w:rPr>
          <w:rFonts w:ascii="Times New Roman" w:hAnsi="Times New Roman"/>
          <w:sz w:val="24"/>
          <w:szCs w:val="24"/>
        </w:rPr>
        <w:t>The</w:t>
      </w:r>
      <w:r w:rsidR="007519BA" w:rsidRPr="00B530BB">
        <w:rPr>
          <w:rFonts w:ascii="Times New Roman" w:hAnsi="Times New Roman"/>
          <w:sz w:val="24"/>
          <w:szCs w:val="24"/>
        </w:rPr>
        <w:t>refore, the</w:t>
      </w:r>
      <w:r w:rsidR="00C819A7" w:rsidRPr="00B530BB">
        <w:rPr>
          <w:rFonts w:ascii="Times New Roman" w:hAnsi="Times New Roman"/>
          <w:sz w:val="24"/>
          <w:szCs w:val="24"/>
        </w:rPr>
        <w:t xml:space="preserve"> first simulation </w:t>
      </w:r>
      <w:r w:rsidR="00966DDB" w:rsidRPr="00B530BB">
        <w:rPr>
          <w:rFonts w:ascii="Times New Roman" w:hAnsi="Times New Roman"/>
          <w:sz w:val="24"/>
          <w:szCs w:val="24"/>
        </w:rPr>
        <w:t xml:space="preserve">randomly </w:t>
      </w:r>
      <w:r w:rsidR="00DF3257" w:rsidRPr="00B530BB">
        <w:rPr>
          <w:rFonts w:ascii="Times New Roman" w:hAnsi="Times New Roman"/>
          <w:sz w:val="24"/>
          <w:szCs w:val="24"/>
        </w:rPr>
        <w:t xml:space="preserve">selected </w:t>
      </w:r>
      <w:r w:rsidR="007519BA" w:rsidRPr="00B530BB">
        <w:rPr>
          <w:rFonts w:ascii="Times New Roman" w:hAnsi="Times New Roman"/>
          <w:sz w:val="24"/>
          <w:szCs w:val="24"/>
        </w:rPr>
        <w:t xml:space="preserve">and removed </w:t>
      </w:r>
      <w:r w:rsidR="007C191D" w:rsidRPr="00B530BB">
        <w:rPr>
          <w:rFonts w:ascii="Times New Roman" w:hAnsi="Times New Roman"/>
          <w:sz w:val="24"/>
          <w:szCs w:val="24"/>
        </w:rPr>
        <w:t xml:space="preserve">(i.e. assumed closed for trading) </w:t>
      </w:r>
      <w:r w:rsidR="002323F0" w:rsidRPr="00B530BB">
        <w:rPr>
          <w:rFonts w:ascii="Times New Roman" w:hAnsi="Times New Roman"/>
          <w:sz w:val="24"/>
          <w:szCs w:val="24"/>
        </w:rPr>
        <w:t xml:space="preserve">9% of </w:t>
      </w:r>
      <w:r w:rsidR="0067663F" w:rsidRPr="00B530BB">
        <w:rPr>
          <w:rFonts w:ascii="Times New Roman" w:hAnsi="Times New Roman"/>
          <w:sz w:val="24"/>
          <w:szCs w:val="24"/>
        </w:rPr>
        <w:t xml:space="preserve">the 147 abattoirs offering </w:t>
      </w:r>
      <w:r w:rsidR="00040C38">
        <w:rPr>
          <w:rFonts w:ascii="Times New Roman" w:hAnsi="Times New Roman"/>
          <w:sz w:val="24"/>
          <w:szCs w:val="24"/>
        </w:rPr>
        <w:t>PK</w:t>
      </w:r>
      <w:r w:rsidR="0067663F" w:rsidRPr="00B530BB">
        <w:rPr>
          <w:rFonts w:ascii="Times New Roman" w:hAnsi="Times New Roman"/>
          <w:sz w:val="24"/>
          <w:szCs w:val="24"/>
        </w:rPr>
        <w:t xml:space="preserve"> services</w:t>
      </w:r>
      <w:r w:rsidR="00C819A7" w:rsidRPr="00B530BB">
        <w:rPr>
          <w:rFonts w:ascii="Times New Roman" w:hAnsi="Times New Roman"/>
          <w:sz w:val="24"/>
          <w:szCs w:val="24"/>
        </w:rPr>
        <w:t xml:space="preserve">, simulating the </w:t>
      </w:r>
      <w:r w:rsidR="00FE36B5" w:rsidRPr="00B530BB">
        <w:rPr>
          <w:rFonts w:ascii="Times New Roman" w:hAnsi="Times New Roman"/>
          <w:sz w:val="24"/>
          <w:szCs w:val="24"/>
        </w:rPr>
        <w:t xml:space="preserve">possible network in </w:t>
      </w:r>
      <w:r w:rsidR="00961926" w:rsidRPr="00B530BB">
        <w:rPr>
          <w:rFonts w:ascii="Times New Roman" w:hAnsi="Times New Roman"/>
          <w:sz w:val="24"/>
          <w:szCs w:val="24"/>
        </w:rPr>
        <w:t>2</w:t>
      </w:r>
      <w:r w:rsidR="00FE36B5" w:rsidRPr="00B530BB">
        <w:rPr>
          <w:rFonts w:ascii="Times New Roman" w:hAnsi="Times New Roman"/>
          <w:sz w:val="24"/>
          <w:szCs w:val="24"/>
        </w:rPr>
        <w:t>0 months</w:t>
      </w:r>
      <w:r w:rsidR="00FA4C13">
        <w:rPr>
          <w:rFonts w:ascii="Times New Roman" w:hAnsi="Times New Roman"/>
          <w:sz w:val="24"/>
          <w:szCs w:val="24"/>
        </w:rPr>
        <w:t xml:space="preserve"> </w:t>
      </w:r>
      <w:r w:rsidR="00FE36B5" w:rsidRPr="00B530BB">
        <w:rPr>
          <w:rFonts w:ascii="Times New Roman" w:hAnsi="Times New Roman"/>
          <w:sz w:val="24"/>
          <w:szCs w:val="24"/>
        </w:rPr>
        <w:t xml:space="preserve">assuming </w:t>
      </w:r>
      <w:r w:rsidR="007519BA" w:rsidRPr="00B530BB">
        <w:rPr>
          <w:rFonts w:ascii="Times New Roman" w:hAnsi="Times New Roman"/>
          <w:sz w:val="24"/>
          <w:szCs w:val="24"/>
        </w:rPr>
        <w:t xml:space="preserve">a constant </w:t>
      </w:r>
      <w:r w:rsidR="00FE36B5" w:rsidRPr="00B530BB">
        <w:rPr>
          <w:rFonts w:ascii="Times New Roman" w:hAnsi="Times New Roman"/>
          <w:sz w:val="24"/>
          <w:szCs w:val="24"/>
        </w:rPr>
        <w:t>rate of attrition.</w:t>
      </w:r>
      <w:r w:rsidR="00961926" w:rsidRPr="00B530BB">
        <w:rPr>
          <w:rFonts w:ascii="Times New Roman" w:hAnsi="Times New Roman"/>
          <w:sz w:val="24"/>
          <w:szCs w:val="24"/>
        </w:rPr>
        <w:t xml:space="preserve">  </w:t>
      </w:r>
      <w:r w:rsidR="007519BA" w:rsidRPr="00B530BB">
        <w:rPr>
          <w:rFonts w:ascii="Times New Roman" w:hAnsi="Times New Roman"/>
          <w:sz w:val="24"/>
          <w:szCs w:val="24"/>
        </w:rPr>
        <w:t>Seve</w:t>
      </w:r>
      <w:r w:rsidR="00B40746" w:rsidRPr="00B530BB">
        <w:rPr>
          <w:rFonts w:ascii="Times New Roman" w:hAnsi="Times New Roman"/>
          <w:sz w:val="24"/>
          <w:szCs w:val="24"/>
        </w:rPr>
        <w:t>n</w:t>
      </w:r>
      <w:r w:rsidR="007519BA" w:rsidRPr="00B530BB">
        <w:rPr>
          <w:rFonts w:ascii="Times New Roman" w:hAnsi="Times New Roman"/>
          <w:sz w:val="24"/>
          <w:szCs w:val="24"/>
        </w:rPr>
        <w:t xml:space="preserve"> </w:t>
      </w:r>
      <w:r w:rsidR="00E42E72" w:rsidRPr="00B530BB">
        <w:rPr>
          <w:rFonts w:ascii="Times New Roman" w:hAnsi="Times New Roman"/>
          <w:sz w:val="24"/>
          <w:szCs w:val="24"/>
        </w:rPr>
        <w:t xml:space="preserve">simulation </w:t>
      </w:r>
      <w:r w:rsidR="007519BA" w:rsidRPr="00B530BB">
        <w:rPr>
          <w:rFonts w:ascii="Times New Roman" w:hAnsi="Times New Roman"/>
          <w:sz w:val="24"/>
          <w:szCs w:val="24"/>
        </w:rPr>
        <w:t>runs were completed</w:t>
      </w:r>
      <w:r w:rsidR="00E42E72" w:rsidRPr="00B530BB">
        <w:rPr>
          <w:rFonts w:ascii="Times New Roman" w:hAnsi="Times New Roman"/>
          <w:sz w:val="24"/>
          <w:szCs w:val="24"/>
        </w:rPr>
        <w:t>,</w:t>
      </w:r>
      <w:r w:rsidR="00966DDB" w:rsidRPr="00B530BB">
        <w:rPr>
          <w:rFonts w:ascii="Times New Roman" w:hAnsi="Times New Roman"/>
          <w:sz w:val="24"/>
          <w:szCs w:val="24"/>
        </w:rPr>
        <w:t xml:space="preserve"> creating</w:t>
      </w:r>
      <w:r w:rsidR="00C3403A" w:rsidRPr="00B530BB">
        <w:rPr>
          <w:rFonts w:ascii="Times New Roman" w:hAnsi="Times New Roman"/>
          <w:sz w:val="24"/>
          <w:szCs w:val="24"/>
        </w:rPr>
        <w:t xml:space="preserve"> seven data sets</w:t>
      </w:r>
      <w:r w:rsidR="00E42E72" w:rsidRPr="00B530BB">
        <w:rPr>
          <w:rFonts w:ascii="Times New Roman" w:hAnsi="Times New Roman"/>
          <w:sz w:val="24"/>
          <w:szCs w:val="24"/>
        </w:rPr>
        <w:t>,</w:t>
      </w:r>
      <w:r w:rsidR="005B4B8B" w:rsidRPr="00B530BB">
        <w:rPr>
          <w:rFonts w:ascii="Times New Roman" w:hAnsi="Times New Roman"/>
          <w:sz w:val="24"/>
          <w:szCs w:val="24"/>
        </w:rPr>
        <w:t xml:space="preserve"> each of</w:t>
      </w:r>
      <w:r w:rsidR="00C3403A" w:rsidRPr="00B530BB">
        <w:rPr>
          <w:rFonts w:ascii="Times New Roman" w:hAnsi="Times New Roman"/>
          <w:sz w:val="24"/>
          <w:szCs w:val="24"/>
        </w:rPr>
        <w:t xml:space="preserve"> 134 abattoirs</w:t>
      </w:r>
      <w:r w:rsidR="005B4B8B" w:rsidRPr="00B530BB">
        <w:rPr>
          <w:rFonts w:ascii="Times New Roman" w:hAnsi="Times New Roman"/>
          <w:sz w:val="24"/>
          <w:szCs w:val="24"/>
        </w:rPr>
        <w:t>.</w:t>
      </w:r>
      <w:r w:rsidR="00966DDB" w:rsidRPr="00B530BB">
        <w:rPr>
          <w:rFonts w:ascii="Times New Roman" w:hAnsi="Times New Roman"/>
          <w:sz w:val="24"/>
          <w:szCs w:val="24"/>
        </w:rPr>
        <w:t xml:space="preserve">  T</w:t>
      </w:r>
      <w:r w:rsidR="00836192" w:rsidRPr="00B530BB">
        <w:rPr>
          <w:rFonts w:ascii="Times New Roman" w:hAnsi="Times New Roman"/>
          <w:sz w:val="24"/>
          <w:szCs w:val="24"/>
        </w:rPr>
        <w:t xml:space="preserve">able </w:t>
      </w:r>
      <w:r w:rsidR="007519BA" w:rsidRPr="00B530BB">
        <w:rPr>
          <w:rFonts w:ascii="Times New Roman" w:hAnsi="Times New Roman"/>
          <w:sz w:val="24"/>
          <w:szCs w:val="24"/>
        </w:rPr>
        <w:t>2</w:t>
      </w:r>
      <w:r w:rsidR="00836192" w:rsidRPr="00B530BB">
        <w:rPr>
          <w:rFonts w:ascii="Times New Roman" w:hAnsi="Times New Roman"/>
          <w:sz w:val="24"/>
          <w:szCs w:val="24"/>
        </w:rPr>
        <w:t xml:space="preserve"> presents the </w:t>
      </w:r>
      <w:r w:rsidR="00B20CA3" w:rsidRPr="00B530BB">
        <w:rPr>
          <w:rFonts w:ascii="Times New Roman" w:hAnsi="Times New Roman"/>
          <w:sz w:val="24"/>
          <w:szCs w:val="24"/>
        </w:rPr>
        <w:t xml:space="preserve">results </w:t>
      </w:r>
      <w:r w:rsidR="009C74C5" w:rsidRPr="00B530BB">
        <w:rPr>
          <w:rFonts w:ascii="Times New Roman" w:hAnsi="Times New Roman"/>
          <w:sz w:val="24"/>
          <w:szCs w:val="24"/>
        </w:rPr>
        <w:t>average</w:t>
      </w:r>
      <w:r w:rsidR="00B20CA3" w:rsidRPr="00B530BB">
        <w:rPr>
          <w:rFonts w:ascii="Times New Roman" w:hAnsi="Times New Roman"/>
          <w:sz w:val="24"/>
          <w:szCs w:val="24"/>
        </w:rPr>
        <w:t>d</w:t>
      </w:r>
      <w:r w:rsidR="009C74C5" w:rsidRPr="00B530BB">
        <w:rPr>
          <w:rFonts w:ascii="Times New Roman" w:hAnsi="Times New Roman"/>
          <w:sz w:val="24"/>
          <w:szCs w:val="24"/>
        </w:rPr>
        <w:t xml:space="preserve"> across </w:t>
      </w:r>
      <w:r w:rsidR="00B20CA3" w:rsidRPr="00B530BB">
        <w:rPr>
          <w:rFonts w:ascii="Times New Roman" w:hAnsi="Times New Roman"/>
          <w:sz w:val="24"/>
          <w:szCs w:val="24"/>
        </w:rPr>
        <w:t>the</w:t>
      </w:r>
      <w:r w:rsidR="009C74C5" w:rsidRPr="00B530BB">
        <w:rPr>
          <w:rFonts w:ascii="Times New Roman" w:hAnsi="Times New Roman"/>
          <w:sz w:val="24"/>
          <w:szCs w:val="24"/>
        </w:rPr>
        <w:t xml:space="preserve"> seven simulations</w:t>
      </w:r>
      <w:r w:rsidR="00B20CA3" w:rsidRPr="00B530BB">
        <w:rPr>
          <w:rFonts w:ascii="Times New Roman" w:hAnsi="Times New Roman"/>
          <w:sz w:val="24"/>
          <w:szCs w:val="24"/>
        </w:rPr>
        <w:t xml:space="preserve">: 20.6% </w:t>
      </w:r>
      <w:r w:rsidR="007519BA" w:rsidRPr="00B530BB">
        <w:rPr>
          <w:rFonts w:ascii="Times New Roman" w:hAnsi="Times New Roman"/>
          <w:sz w:val="24"/>
          <w:szCs w:val="24"/>
        </w:rPr>
        <w:t xml:space="preserve">of the UK </w:t>
      </w:r>
      <w:r w:rsidR="00B20CA3" w:rsidRPr="00B530BB">
        <w:rPr>
          <w:rFonts w:ascii="Times New Roman" w:hAnsi="Times New Roman"/>
          <w:sz w:val="24"/>
          <w:szCs w:val="24"/>
        </w:rPr>
        <w:t xml:space="preserve">was further than 45km from an </w:t>
      </w:r>
      <w:r w:rsidR="00836192" w:rsidRPr="00B530BB">
        <w:rPr>
          <w:rFonts w:ascii="Times New Roman" w:hAnsi="Times New Roman"/>
          <w:sz w:val="24"/>
          <w:szCs w:val="24"/>
        </w:rPr>
        <w:t>abattoir</w:t>
      </w:r>
      <w:r w:rsidR="009C74C5" w:rsidRPr="00B530BB">
        <w:rPr>
          <w:rFonts w:ascii="Times New Roman" w:hAnsi="Times New Roman"/>
          <w:sz w:val="24"/>
          <w:szCs w:val="24"/>
        </w:rPr>
        <w:t xml:space="preserve">, </w:t>
      </w:r>
      <w:r w:rsidR="00B20CA3" w:rsidRPr="00B530BB">
        <w:rPr>
          <w:rFonts w:ascii="Times New Roman" w:hAnsi="Times New Roman"/>
          <w:sz w:val="24"/>
          <w:szCs w:val="24"/>
        </w:rPr>
        <w:t>21.2% was</w:t>
      </w:r>
      <w:r w:rsidR="00E42E72" w:rsidRPr="00B530BB">
        <w:rPr>
          <w:rFonts w:ascii="Times New Roman" w:hAnsi="Times New Roman"/>
          <w:sz w:val="24"/>
          <w:szCs w:val="24"/>
        </w:rPr>
        <w:t xml:space="preserve"> covered by </w:t>
      </w:r>
      <w:r w:rsidR="00836192" w:rsidRPr="00B530BB">
        <w:rPr>
          <w:rFonts w:ascii="Times New Roman" w:hAnsi="Times New Roman"/>
          <w:sz w:val="24"/>
          <w:szCs w:val="24"/>
        </w:rPr>
        <w:t>one, 15.4%</w:t>
      </w:r>
      <w:r w:rsidR="00B20CA3" w:rsidRPr="00B530BB">
        <w:rPr>
          <w:rFonts w:ascii="Times New Roman" w:hAnsi="Times New Roman"/>
          <w:sz w:val="24"/>
          <w:szCs w:val="24"/>
        </w:rPr>
        <w:t xml:space="preserve"> by two, and 42.8% by </w:t>
      </w:r>
      <w:r w:rsidR="00836192" w:rsidRPr="00B530BB">
        <w:rPr>
          <w:rFonts w:ascii="Times New Roman" w:hAnsi="Times New Roman"/>
          <w:sz w:val="24"/>
          <w:szCs w:val="24"/>
        </w:rPr>
        <w:t xml:space="preserve">three or more abattoirs.  </w:t>
      </w:r>
      <w:r w:rsidR="007519BA" w:rsidRPr="00B530BB">
        <w:rPr>
          <w:rFonts w:ascii="Times New Roman" w:hAnsi="Times New Roman"/>
          <w:sz w:val="24"/>
          <w:szCs w:val="24"/>
        </w:rPr>
        <w:t xml:space="preserve">Table 2 </w:t>
      </w:r>
      <w:r w:rsidR="00836192" w:rsidRPr="00B530BB">
        <w:rPr>
          <w:rFonts w:ascii="Times New Roman" w:hAnsi="Times New Roman"/>
          <w:sz w:val="24"/>
          <w:szCs w:val="24"/>
        </w:rPr>
        <w:t>also show the</w:t>
      </w:r>
      <w:r w:rsidR="00E42E72" w:rsidRPr="00B530BB">
        <w:rPr>
          <w:rFonts w:ascii="Times New Roman" w:hAnsi="Times New Roman"/>
          <w:sz w:val="24"/>
          <w:szCs w:val="24"/>
        </w:rPr>
        <w:t xml:space="preserve"> areas covered by </w:t>
      </w:r>
      <w:r w:rsidR="00836192" w:rsidRPr="00B530BB">
        <w:rPr>
          <w:rFonts w:ascii="Times New Roman" w:hAnsi="Times New Roman"/>
          <w:sz w:val="24"/>
          <w:szCs w:val="24"/>
        </w:rPr>
        <w:t xml:space="preserve">the simulation </w:t>
      </w:r>
      <w:r w:rsidR="009C74C5" w:rsidRPr="00B530BB">
        <w:rPr>
          <w:rFonts w:ascii="Times New Roman" w:hAnsi="Times New Roman"/>
          <w:sz w:val="24"/>
          <w:szCs w:val="24"/>
        </w:rPr>
        <w:t>run</w:t>
      </w:r>
      <w:r w:rsidR="00B20CA3" w:rsidRPr="00B530BB">
        <w:rPr>
          <w:rFonts w:ascii="Times New Roman" w:hAnsi="Times New Roman"/>
          <w:sz w:val="24"/>
          <w:szCs w:val="24"/>
        </w:rPr>
        <w:t>s</w:t>
      </w:r>
      <w:r w:rsidR="009C74C5" w:rsidRPr="00B530BB">
        <w:rPr>
          <w:rFonts w:ascii="Times New Roman" w:hAnsi="Times New Roman"/>
          <w:sz w:val="24"/>
          <w:szCs w:val="24"/>
        </w:rPr>
        <w:t xml:space="preserve"> that </w:t>
      </w:r>
      <w:r w:rsidR="00B20CA3" w:rsidRPr="00B530BB">
        <w:rPr>
          <w:rFonts w:ascii="Times New Roman" w:hAnsi="Times New Roman"/>
          <w:sz w:val="24"/>
          <w:szCs w:val="24"/>
        </w:rPr>
        <w:t xml:space="preserve">resulted in </w:t>
      </w:r>
      <w:r w:rsidR="009C74C5" w:rsidRPr="00B530BB">
        <w:rPr>
          <w:rFonts w:ascii="Times New Roman" w:hAnsi="Times New Roman"/>
          <w:sz w:val="24"/>
          <w:szCs w:val="24"/>
        </w:rPr>
        <w:t>th</w:t>
      </w:r>
      <w:r w:rsidR="00836192" w:rsidRPr="00B530BB">
        <w:rPr>
          <w:rFonts w:ascii="Times New Roman" w:hAnsi="Times New Roman"/>
          <w:sz w:val="24"/>
          <w:szCs w:val="24"/>
        </w:rPr>
        <w:t xml:space="preserve">e </w:t>
      </w:r>
      <w:r w:rsidR="00FE36B5" w:rsidRPr="00B530BB">
        <w:rPr>
          <w:rFonts w:ascii="Times New Roman" w:hAnsi="Times New Roman"/>
          <w:sz w:val="24"/>
          <w:szCs w:val="24"/>
        </w:rPr>
        <w:t xml:space="preserve">smallest </w:t>
      </w:r>
      <w:r w:rsidR="00836192" w:rsidRPr="00B530BB">
        <w:rPr>
          <w:rFonts w:ascii="Times New Roman" w:hAnsi="Times New Roman"/>
          <w:sz w:val="24"/>
          <w:szCs w:val="24"/>
        </w:rPr>
        <w:t xml:space="preserve">area (18.6%) and the </w:t>
      </w:r>
      <w:r w:rsidR="00FE36B5" w:rsidRPr="00B530BB">
        <w:rPr>
          <w:rFonts w:ascii="Times New Roman" w:hAnsi="Times New Roman"/>
          <w:sz w:val="24"/>
          <w:szCs w:val="24"/>
        </w:rPr>
        <w:t>largest</w:t>
      </w:r>
      <w:r w:rsidR="00836192" w:rsidRPr="00B530BB">
        <w:rPr>
          <w:rFonts w:ascii="Times New Roman" w:hAnsi="Times New Roman"/>
          <w:sz w:val="24"/>
          <w:szCs w:val="24"/>
        </w:rPr>
        <w:t xml:space="preserve"> area (23.1%)</w:t>
      </w:r>
      <w:r w:rsidR="00FE36B5" w:rsidRPr="00B530BB">
        <w:rPr>
          <w:rFonts w:ascii="Times New Roman" w:hAnsi="Times New Roman"/>
          <w:sz w:val="24"/>
          <w:szCs w:val="24"/>
        </w:rPr>
        <w:t xml:space="preserve"> </w:t>
      </w:r>
      <w:r w:rsidR="00B20CA3" w:rsidRPr="00B530BB">
        <w:rPr>
          <w:rFonts w:ascii="Times New Roman" w:hAnsi="Times New Roman"/>
          <w:sz w:val="24"/>
          <w:szCs w:val="24"/>
        </w:rPr>
        <w:t xml:space="preserve">further than </w:t>
      </w:r>
      <w:r w:rsidR="00DB0146" w:rsidRPr="00B530BB">
        <w:rPr>
          <w:rFonts w:ascii="Times New Roman" w:hAnsi="Times New Roman"/>
          <w:sz w:val="24"/>
          <w:szCs w:val="24"/>
        </w:rPr>
        <w:t>45km</w:t>
      </w:r>
      <w:r w:rsidR="00B20CA3" w:rsidRPr="00B530BB">
        <w:rPr>
          <w:rFonts w:ascii="Times New Roman" w:hAnsi="Times New Roman"/>
          <w:sz w:val="24"/>
          <w:szCs w:val="24"/>
        </w:rPr>
        <w:t xml:space="preserve"> from an </w:t>
      </w:r>
      <w:r w:rsidR="00FE36B5" w:rsidRPr="00B530BB">
        <w:rPr>
          <w:rFonts w:ascii="Times New Roman" w:hAnsi="Times New Roman"/>
          <w:sz w:val="24"/>
          <w:szCs w:val="24"/>
        </w:rPr>
        <w:t>abattoir</w:t>
      </w:r>
      <w:r w:rsidR="009C74C5" w:rsidRPr="00B530BB">
        <w:rPr>
          <w:rFonts w:ascii="Times New Roman" w:hAnsi="Times New Roman"/>
          <w:sz w:val="24"/>
          <w:szCs w:val="24"/>
        </w:rPr>
        <w:t>.  The maps for the</w:t>
      </w:r>
      <w:r w:rsidR="00B20CA3" w:rsidRPr="00B530BB">
        <w:rPr>
          <w:rFonts w:ascii="Times New Roman" w:hAnsi="Times New Roman"/>
          <w:sz w:val="24"/>
          <w:szCs w:val="24"/>
        </w:rPr>
        <w:t xml:space="preserve"> </w:t>
      </w:r>
      <w:r w:rsidR="009C74C5" w:rsidRPr="00B530BB">
        <w:rPr>
          <w:rFonts w:ascii="Times New Roman" w:hAnsi="Times New Roman"/>
          <w:sz w:val="24"/>
          <w:szCs w:val="24"/>
        </w:rPr>
        <w:t xml:space="preserve">simulation runs </w:t>
      </w:r>
      <w:r w:rsidR="00B20CA3" w:rsidRPr="00B530BB">
        <w:rPr>
          <w:rFonts w:ascii="Times New Roman" w:hAnsi="Times New Roman"/>
          <w:sz w:val="24"/>
          <w:szCs w:val="24"/>
        </w:rPr>
        <w:t xml:space="preserve">with </w:t>
      </w:r>
      <w:r w:rsidR="009C74C5" w:rsidRPr="00B530BB">
        <w:rPr>
          <w:rFonts w:ascii="Times New Roman" w:hAnsi="Times New Roman"/>
          <w:sz w:val="24"/>
          <w:szCs w:val="24"/>
        </w:rPr>
        <w:t xml:space="preserve">the smallest and largest areas </w:t>
      </w:r>
      <w:r w:rsidR="007C191D" w:rsidRPr="00B530BB">
        <w:rPr>
          <w:rFonts w:ascii="Times New Roman" w:hAnsi="Times New Roman"/>
          <w:sz w:val="24"/>
          <w:szCs w:val="24"/>
        </w:rPr>
        <w:t xml:space="preserve">more than 45kms from a </w:t>
      </w:r>
      <w:r w:rsidR="00040C38">
        <w:rPr>
          <w:rFonts w:ascii="Times New Roman" w:hAnsi="Times New Roman"/>
          <w:sz w:val="24"/>
          <w:szCs w:val="24"/>
        </w:rPr>
        <w:t>PK</w:t>
      </w:r>
      <w:r w:rsidR="007C191D" w:rsidRPr="00B530BB">
        <w:rPr>
          <w:rFonts w:ascii="Times New Roman" w:hAnsi="Times New Roman"/>
          <w:sz w:val="24"/>
          <w:szCs w:val="24"/>
        </w:rPr>
        <w:t xml:space="preserve"> </w:t>
      </w:r>
      <w:r w:rsidR="00B20CA3" w:rsidRPr="00B530BB">
        <w:rPr>
          <w:rFonts w:ascii="Times New Roman" w:hAnsi="Times New Roman"/>
          <w:sz w:val="24"/>
          <w:szCs w:val="24"/>
        </w:rPr>
        <w:t xml:space="preserve">abattoir </w:t>
      </w:r>
      <w:r w:rsidR="009C74C5" w:rsidRPr="00B530BB">
        <w:rPr>
          <w:rFonts w:ascii="Times New Roman" w:hAnsi="Times New Roman"/>
          <w:sz w:val="24"/>
          <w:szCs w:val="24"/>
        </w:rPr>
        <w:t>are</w:t>
      </w:r>
      <w:r w:rsidR="00E42E72" w:rsidRPr="00B530BB">
        <w:rPr>
          <w:rFonts w:ascii="Times New Roman" w:hAnsi="Times New Roman"/>
          <w:sz w:val="24"/>
          <w:szCs w:val="24"/>
        </w:rPr>
        <w:t xml:space="preserve"> shown in </w:t>
      </w:r>
      <w:r w:rsidR="00F53372" w:rsidRPr="00B530BB">
        <w:rPr>
          <w:rFonts w:ascii="Times New Roman" w:hAnsi="Times New Roman"/>
          <w:sz w:val="24"/>
          <w:szCs w:val="24"/>
        </w:rPr>
        <w:t>Figure</w:t>
      </w:r>
      <w:r w:rsidR="007C191D" w:rsidRPr="00B530BB">
        <w:rPr>
          <w:rFonts w:ascii="Times New Roman" w:hAnsi="Times New Roman"/>
          <w:sz w:val="24"/>
          <w:szCs w:val="24"/>
        </w:rPr>
        <w:t>s</w:t>
      </w:r>
      <w:r w:rsidR="00F53372" w:rsidRPr="00B530BB">
        <w:rPr>
          <w:rFonts w:ascii="Times New Roman" w:hAnsi="Times New Roman"/>
          <w:sz w:val="24"/>
          <w:szCs w:val="24"/>
        </w:rPr>
        <w:t xml:space="preserve"> </w:t>
      </w:r>
      <w:r w:rsidR="001646AA" w:rsidRPr="00B530BB">
        <w:rPr>
          <w:rFonts w:ascii="Times New Roman" w:hAnsi="Times New Roman"/>
          <w:sz w:val="24"/>
          <w:szCs w:val="24"/>
        </w:rPr>
        <w:t>5</w:t>
      </w:r>
      <w:r w:rsidR="00F53372" w:rsidRPr="00B530BB">
        <w:rPr>
          <w:rFonts w:ascii="Times New Roman" w:hAnsi="Times New Roman"/>
          <w:sz w:val="24"/>
          <w:szCs w:val="24"/>
        </w:rPr>
        <w:t xml:space="preserve"> and </w:t>
      </w:r>
      <w:r w:rsidR="001646AA" w:rsidRPr="00B530BB">
        <w:rPr>
          <w:rFonts w:ascii="Times New Roman" w:hAnsi="Times New Roman"/>
          <w:sz w:val="24"/>
          <w:szCs w:val="24"/>
        </w:rPr>
        <w:t>6</w:t>
      </w:r>
      <w:r w:rsidR="00E42E72" w:rsidRPr="00B530BB">
        <w:rPr>
          <w:rFonts w:ascii="Times New Roman" w:hAnsi="Times New Roman"/>
          <w:sz w:val="24"/>
          <w:szCs w:val="24"/>
        </w:rPr>
        <w:t xml:space="preserve"> respectively</w:t>
      </w:r>
      <w:r w:rsidR="00FE36B5" w:rsidRPr="00B530BB">
        <w:rPr>
          <w:rFonts w:ascii="Times New Roman" w:hAnsi="Times New Roman"/>
          <w:sz w:val="24"/>
          <w:szCs w:val="24"/>
        </w:rPr>
        <w:t>.</w:t>
      </w:r>
      <w:r w:rsidR="00801874">
        <w:rPr>
          <w:rFonts w:ascii="Times New Roman" w:hAnsi="Times New Roman"/>
          <w:sz w:val="24"/>
          <w:szCs w:val="24"/>
        </w:rPr>
        <w:t xml:space="preserve"> </w:t>
      </w:r>
    </w:p>
    <w:p w14:paraId="3AA3663C" w14:textId="00A079DB" w:rsidR="009C74C5" w:rsidRPr="00B530BB" w:rsidRDefault="00BE1BB3" w:rsidP="002A0139">
      <w:pPr>
        <w:pStyle w:val="BodyText"/>
        <w:kinsoku w:val="0"/>
        <w:overflowPunct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0BB">
        <w:rPr>
          <w:rFonts w:ascii="Times New Roman" w:hAnsi="Times New Roman" w:cs="Times New Roman"/>
          <w:sz w:val="24"/>
          <w:szCs w:val="24"/>
        </w:rPr>
        <w:lastRenderedPageBreak/>
        <w:t xml:space="preserve">To simulate the possible network of </w:t>
      </w:r>
      <w:r w:rsidR="00040C38">
        <w:rPr>
          <w:rFonts w:ascii="Times New Roman" w:hAnsi="Times New Roman" w:cs="Times New Roman"/>
          <w:sz w:val="24"/>
          <w:szCs w:val="24"/>
        </w:rPr>
        <w:t>PK</w:t>
      </w:r>
      <w:r w:rsidRPr="00B530BB">
        <w:rPr>
          <w:rFonts w:ascii="Times New Roman" w:hAnsi="Times New Roman" w:cs="Times New Roman"/>
          <w:sz w:val="24"/>
          <w:szCs w:val="24"/>
        </w:rPr>
        <w:t xml:space="preserve"> provision </w:t>
      </w:r>
      <w:r w:rsidR="008B7859" w:rsidRPr="00B530BB">
        <w:rPr>
          <w:rFonts w:ascii="Times New Roman" w:hAnsi="Times New Roman" w:cs="Times New Roman"/>
          <w:sz w:val="24"/>
          <w:szCs w:val="24"/>
        </w:rPr>
        <w:t>after</w:t>
      </w:r>
      <w:r w:rsidRPr="00B530BB">
        <w:rPr>
          <w:rFonts w:ascii="Times New Roman" w:hAnsi="Times New Roman" w:cs="Times New Roman"/>
          <w:sz w:val="24"/>
          <w:szCs w:val="24"/>
        </w:rPr>
        <w:t xml:space="preserve"> 40 months, a</w:t>
      </w:r>
      <w:r w:rsidR="00FE36B5" w:rsidRPr="00B530BB">
        <w:rPr>
          <w:rFonts w:ascii="Times New Roman" w:hAnsi="Times New Roman" w:cs="Times New Roman"/>
          <w:sz w:val="24"/>
          <w:szCs w:val="24"/>
        </w:rPr>
        <w:t xml:space="preserve"> second </w:t>
      </w:r>
      <w:r w:rsidR="00186066" w:rsidRPr="00B530BB">
        <w:rPr>
          <w:rFonts w:ascii="Times New Roman" w:hAnsi="Times New Roman" w:cs="Times New Roman"/>
          <w:sz w:val="24"/>
          <w:szCs w:val="24"/>
        </w:rPr>
        <w:t xml:space="preserve">set of </w:t>
      </w:r>
      <w:r w:rsidR="008B7859" w:rsidRPr="00B530BB">
        <w:rPr>
          <w:rFonts w:ascii="Times New Roman" w:hAnsi="Times New Roman" w:cs="Times New Roman"/>
          <w:sz w:val="24"/>
          <w:szCs w:val="24"/>
        </w:rPr>
        <w:t>s</w:t>
      </w:r>
      <w:r w:rsidR="00186066" w:rsidRPr="00B530BB">
        <w:rPr>
          <w:rFonts w:ascii="Times New Roman" w:hAnsi="Times New Roman" w:cs="Times New Roman"/>
          <w:sz w:val="24"/>
          <w:szCs w:val="24"/>
        </w:rPr>
        <w:t xml:space="preserve">even simulations </w:t>
      </w:r>
      <w:r w:rsidRPr="00B530BB">
        <w:rPr>
          <w:rFonts w:ascii="Times New Roman" w:hAnsi="Times New Roman" w:cs="Times New Roman"/>
          <w:sz w:val="24"/>
          <w:szCs w:val="24"/>
        </w:rPr>
        <w:t xml:space="preserve">was run </w:t>
      </w:r>
      <w:r w:rsidR="00DF3257" w:rsidRPr="00B530BB">
        <w:rPr>
          <w:rFonts w:ascii="Times New Roman" w:hAnsi="Times New Roman" w:cs="Times New Roman"/>
          <w:sz w:val="24"/>
          <w:szCs w:val="24"/>
        </w:rPr>
        <w:t xml:space="preserve">randomly </w:t>
      </w:r>
      <w:r w:rsidR="00186066" w:rsidRPr="00B530BB">
        <w:rPr>
          <w:rFonts w:ascii="Times New Roman" w:hAnsi="Times New Roman" w:cs="Times New Roman"/>
          <w:sz w:val="24"/>
          <w:szCs w:val="24"/>
        </w:rPr>
        <w:t>remov</w:t>
      </w:r>
      <w:r w:rsidRPr="00B530BB">
        <w:rPr>
          <w:rFonts w:ascii="Times New Roman" w:hAnsi="Times New Roman" w:cs="Times New Roman"/>
          <w:sz w:val="24"/>
          <w:szCs w:val="24"/>
        </w:rPr>
        <w:t>ing</w:t>
      </w:r>
      <w:r w:rsidR="00DF3257" w:rsidRPr="00B530BB">
        <w:rPr>
          <w:rFonts w:ascii="Times New Roman" w:hAnsi="Times New Roman" w:cs="Times New Roman"/>
          <w:sz w:val="24"/>
          <w:szCs w:val="24"/>
        </w:rPr>
        <w:t xml:space="preserve"> </w:t>
      </w:r>
      <w:r w:rsidR="00186066" w:rsidRPr="00B530BB">
        <w:rPr>
          <w:rFonts w:ascii="Times New Roman" w:hAnsi="Times New Roman" w:cs="Times New Roman"/>
          <w:sz w:val="24"/>
          <w:szCs w:val="24"/>
        </w:rPr>
        <w:t xml:space="preserve">18% of </w:t>
      </w:r>
      <w:r w:rsidR="00DF3257" w:rsidRPr="00B530BB">
        <w:rPr>
          <w:rFonts w:ascii="Times New Roman" w:hAnsi="Times New Roman" w:cs="Times New Roman"/>
          <w:sz w:val="24"/>
          <w:szCs w:val="24"/>
        </w:rPr>
        <w:t xml:space="preserve">the </w:t>
      </w:r>
      <w:r w:rsidR="008B7859" w:rsidRPr="00B530BB">
        <w:rPr>
          <w:rFonts w:ascii="Times New Roman" w:hAnsi="Times New Roman" w:cs="Times New Roman"/>
          <w:sz w:val="24"/>
          <w:szCs w:val="24"/>
        </w:rPr>
        <w:t xml:space="preserve">147 abattoirs in the </w:t>
      </w:r>
      <w:r w:rsidR="00186066" w:rsidRPr="00B530BB">
        <w:rPr>
          <w:rFonts w:ascii="Times New Roman" w:hAnsi="Times New Roman" w:cs="Times New Roman"/>
          <w:sz w:val="24"/>
          <w:szCs w:val="24"/>
        </w:rPr>
        <w:t xml:space="preserve">August 2020 </w:t>
      </w:r>
      <w:r w:rsidR="00DF3257" w:rsidRPr="00B530BB">
        <w:rPr>
          <w:rFonts w:ascii="Times New Roman" w:hAnsi="Times New Roman" w:cs="Times New Roman"/>
          <w:sz w:val="24"/>
          <w:szCs w:val="24"/>
        </w:rPr>
        <w:t>population</w:t>
      </w:r>
      <w:r w:rsidR="00801874">
        <w:rPr>
          <w:rFonts w:ascii="Times New Roman" w:hAnsi="Times New Roman" w:cs="Times New Roman"/>
          <w:sz w:val="24"/>
          <w:szCs w:val="24"/>
        </w:rPr>
        <w:t xml:space="preserve">, creating </w:t>
      </w:r>
      <w:r w:rsidR="005B4B8B" w:rsidRPr="00B530BB">
        <w:rPr>
          <w:rFonts w:ascii="Times New Roman" w:hAnsi="Times New Roman" w:cs="Times New Roman"/>
          <w:sz w:val="24"/>
          <w:szCs w:val="24"/>
        </w:rPr>
        <w:t xml:space="preserve">seven </w:t>
      </w:r>
      <w:r w:rsidR="008B7859" w:rsidRPr="00B530BB">
        <w:rPr>
          <w:rFonts w:ascii="Times New Roman" w:hAnsi="Times New Roman" w:cs="Times New Roman"/>
          <w:sz w:val="24"/>
          <w:szCs w:val="24"/>
        </w:rPr>
        <w:t xml:space="preserve">further </w:t>
      </w:r>
      <w:r w:rsidR="00B31C56" w:rsidRPr="00B530BB">
        <w:rPr>
          <w:rFonts w:ascii="Times New Roman" w:hAnsi="Times New Roman" w:cs="Times New Roman"/>
          <w:sz w:val="24"/>
          <w:szCs w:val="24"/>
        </w:rPr>
        <w:t>datasets</w:t>
      </w:r>
      <w:r w:rsidR="005B4B8B" w:rsidRPr="00B530BB">
        <w:rPr>
          <w:rFonts w:ascii="Times New Roman" w:hAnsi="Times New Roman" w:cs="Times New Roman"/>
          <w:sz w:val="24"/>
          <w:szCs w:val="24"/>
        </w:rPr>
        <w:t xml:space="preserve">, each with </w:t>
      </w:r>
      <w:r w:rsidR="00B31C56" w:rsidRPr="00B530BB">
        <w:rPr>
          <w:rFonts w:ascii="Times New Roman" w:hAnsi="Times New Roman" w:cs="Times New Roman"/>
          <w:sz w:val="24"/>
          <w:szCs w:val="24"/>
        </w:rPr>
        <w:t xml:space="preserve">121 </w:t>
      </w:r>
      <w:r w:rsidR="002323F0" w:rsidRPr="00B530BB">
        <w:rPr>
          <w:rFonts w:ascii="Times New Roman" w:hAnsi="Times New Roman" w:cs="Times New Roman"/>
          <w:sz w:val="24"/>
          <w:szCs w:val="24"/>
        </w:rPr>
        <w:t>abattoirs</w:t>
      </w:r>
      <w:r w:rsidRPr="00B530BB">
        <w:rPr>
          <w:rFonts w:ascii="Times New Roman" w:hAnsi="Times New Roman" w:cs="Times New Roman"/>
          <w:sz w:val="24"/>
          <w:szCs w:val="24"/>
        </w:rPr>
        <w:t xml:space="preserve">.  </w:t>
      </w:r>
      <w:r w:rsidR="009C74C5" w:rsidRPr="00B530BB">
        <w:rPr>
          <w:rFonts w:ascii="Times New Roman" w:hAnsi="Times New Roman" w:cs="Times New Roman"/>
          <w:sz w:val="24"/>
          <w:szCs w:val="24"/>
        </w:rPr>
        <w:t xml:space="preserve">Table </w:t>
      </w:r>
      <w:r w:rsidR="007519BA" w:rsidRPr="00B530BB">
        <w:rPr>
          <w:rFonts w:ascii="Times New Roman" w:hAnsi="Times New Roman" w:cs="Times New Roman"/>
          <w:sz w:val="24"/>
          <w:szCs w:val="24"/>
        </w:rPr>
        <w:t>2</w:t>
      </w:r>
      <w:r w:rsidR="009C74C5" w:rsidRPr="00B530BB">
        <w:rPr>
          <w:rFonts w:ascii="Times New Roman" w:hAnsi="Times New Roman" w:cs="Times New Roman"/>
          <w:sz w:val="24"/>
          <w:szCs w:val="24"/>
        </w:rPr>
        <w:t xml:space="preserve"> show the average across the seven simulations: 24.2% of the UK </w:t>
      </w:r>
      <w:r w:rsidR="008B7859" w:rsidRPr="00B530BB">
        <w:rPr>
          <w:rFonts w:ascii="Times New Roman" w:hAnsi="Times New Roman" w:cs="Times New Roman"/>
          <w:sz w:val="24"/>
          <w:szCs w:val="24"/>
        </w:rPr>
        <w:t xml:space="preserve">was further than </w:t>
      </w:r>
      <w:r w:rsidR="00DB0146" w:rsidRPr="00B530BB">
        <w:rPr>
          <w:rFonts w:ascii="Times New Roman" w:hAnsi="Times New Roman" w:cs="Times New Roman"/>
          <w:sz w:val="24"/>
          <w:szCs w:val="24"/>
        </w:rPr>
        <w:t>45km</w:t>
      </w:r>
      <w:r w:rsidR="008B7859" w:rsidRPr="00B530BB">
        <w:rPr>
          <w:rFonts w:ascii="Times New Roman" w:hAnsi="Times New Roman" w:cs="Times New Roman"/>
          <w:sz w:val="24"/>
          <w:szCs w:val="24"/>
        </w:rPr>
        <w:t xml:space="preserve"> from a </w:t>
      </w:r>
      <w:r w:rsidR="00040C38">
        <w:rPr>
          <w:rFonts w:ascii="Times New Roman" w:hAnsi="Times New Roman" w:cs="Times New Roman"/>
          <w:sz w:val="24"/>
          <w:szCs w:val="24"/>
        </w:rPr>
        <w:t>PK</w:t>
      </w:r>
      <w:r w:rsidR="009C74C5" w:rsidRPr="00B530BB">
        <w:rPr>
          <w:rFonts w:ascii="Times New Roman" w:hAnsi="Times New Roman" w:cs="Times New Roman"/>
          <w:sz w:val="24"/>
          <w:szCs w:val="24"/>
        </w:rPr>
        <w:t xml:space="preserve"> </w:t>
      </w:r>
      <w:r w:rsidR="008B7859" w:rsidRPr="00B530BB">
        <w:rPr>
          <w:rFonts w:ascii="Times New Roman" w:hAnsi="Times New Roman" w:cs="Times New Roman"/>
          <w:sz w:val="24"/>
          <w:szCs w:val="24"/>
        </w:rPr>
        <w:t xml:space="preserve">abattoir, 21% was </w:t>
      </w:r>
      <w:r w:rsidR="009C74C5" w:rsidRPr="00B530BB">
        <w:rPr>
          <w:rFonts w:ascii="Times New Roman" w:hAnsi="Times New Roman" w:cs="Times New Roman"/>
          <w:sz w:val="24"/>
          <w:szCs w:val="24"/>
        </w:rPr>
        <w:t>covered by one</w:t>
      </w:r>
      <w:r w:rsidR="008B7859" w:rsidRPr="00B530BB">
        <w:rPr>
          <w:rFonts w:ascii="Times New Roman" w:hAnsi="Times New Roman" w:cs="Times New Roman"/>
          <w:sz w:val="24"/>
          <w:szCs w:val="24"/>
        </w:rPr>
        <w:t xml:space="preserve">, </w:t>
      </w:r>
      <w:r w:rsidR="009C74C5" w:rsidRPr="00B530BB">
        <w:rPr>
          <w:rFonts w:ascii="Times New Roman" w:hAnsi="Times New Roman" w:cs="Times New Roman"/>
          <w:sz w:val="24"/>
          <w:szCs w:val="24"/>
        </w:rPr>
        <w:t>15.5%</w:t>
      </w:r>
      <w:r w:rsidR="008B7859" w:rsidRPr="00B530BB">
        <w:rPr>
          <w:rFonts w:ascii="Times New Roman" w:hAnsi="Times New Roman" w:cs="Times New Roman"/>
          <w:sz w:val="24"/>
          <w:szCs w:val="24"/>
        </w:rPr>
        <w:t xml:space="preserve"> by two, and 39.3% by </w:t>
      </w:r>
      <w:r w:rsidR="009C74C5" w:rsidRPr="00B530BB">
        <w:rPr>
          <w:rFonts w:ascii="Times New Roman" w:hAnsi="Times New Roman" w:cs="Times New Roman"/>
          <w:sz w:val="24"/>
          <w:szCs w:val="24"/>
        </w:rPr>
        <w:t xml:space="preserve">three or more abattoirs.  The maps for the simulation runs resulting in the smallest </w:t>
      </w:r>
      <w:r w:rsidR="00AB7643" w:rsidRPr="00B530BB">
        <w:rPr>
          <w:rFonts w:ascii="Times New Roman" w:hAnsi="Times New Roman" w:cs="Times New Roman"/>
          <w:sz w:val="24"/>
          <w:szCs w:val="24"/>
        </w:rPr>
        <w:t xml:space="preserve">(i.e. the most optimistic outcome) </w:t>
      </w:r>
      <w:r w:rsidR="009C74C5" w:rsidRPr="00B530BB">
        <w:rPr>
          <w:rFonts w:ascii="Times New Roman" w:hAnsi="Times New Roman" w:cs="Times New Roman"/>
          <w:sz w:val="24"/>
          <w:szCs w:val="24"/>
        </w:rPr>
        <w:t xml:space="preserve">and largest </w:t>
      </w:r>
      <w:r w:rsidR="00AB7643" w:rsidRPr="00B530BB">
        <w:rPr>
          <w:rFonts w:ascii="Times New Roman" w:hAnsi="Times New Roman" w:cs="Times New Roman"/>
          <w:sz w:val="24"/>
          <w:szCs w:val="24"/>
        </w:rPr>
        <w:t xml:space="preserve">(i.e. the least optimistic outcome) </w:t>
      </w:r>
      <w:r w:rsidR="009C74C5" w:rsidRPr="00B530BB">
        <w:rPr>
          <w:rFonts w:ascii="Times New Roman" w:hAnsi="Times New Roman" w:cs="Times New Roman"/>
          <w:sz w:val="24"/>
          <w:szCs w:val="24"/>
        </w:rPr>
        <w:t xml:space="preserve">areas </w:t>
      </w:r>
      <w:r w:rsidR="007C191D" w:rsidRPr="00B530BB">
        <w:rPr>
          <w:rFonts w:ascii="Times New Roman" w:hAnsi="Times New Roman" w:cs="Times New Roman"/>
          <w:sz w:val="24"/>
          <w:szCs w:val="24"/>
        </w:rPr>
        <w:t xml:space="preserve">further than 45kms from a </w:t>
      </w:r>
      <w:r w:rsidR="00040C38">
        <w:rPr>
          <w:rFonts w:ascii="Times New Roman" w:hAnsi="Times New Roman" w:cs="Times New Roman"/>
          <w:sz w:val="24"/>
          <w:szCs w:val="24"/>
        </w:rPr>
        <w:t>PK</w:t>
      </w:r>
      <w:r w:rsidR="007C191D" w:rsidRPr="00B530BB">
        <w:rPr>
          <w:rFonts w:ascii="Times New Roman" w:hAnsi="Times New Roman" w:cs="Times New Roman"/>
          <w:sz w:val="24"/>
          <w:szCs w:val="24"/>
        </w:rPr>
        <w:t xml:space="preserve"> abattoir </w:t>
      </w:r>
      <w:r w:rsidR="008B7859" w:rsidRPr="00B530BB">
        <w:rPr>
          <w:rFonts w:ascii="Times New Roman" w:hAnsi="Times New Roman" w:cs="Times New Roman"/>
          <w:sz w:val="24"/>
          <w:szCs w:val="24"/>
        </w:rPr>
        <w:t xml:space="preserve">are </w:t>
      </w:r>
      <w:r w:rsidR="009C74C5" w:rsidRPr="00B530BB">
        <w:rPr>
          <w:rFonts w:ascii="Times New Roman" w:hAnsi="Times New Roman" w:cs="Times New Roman"/>
          <w:sz w:val="24"/>
          <w:szCs w:val="24"/>
        </w:rPr>
        <w:t>shown in Figure</w:t>
      </w:r>
      <w:r w:rsidR="007C191D" w:rsidRPr="00B530BB">
        <w:rPr>
          <w:rFonts w:ascii="Times New Roman" w:hAnsi="Times New Roman" w:cs="Times New Roman"/>
          <w:sz w:val="24"/>
          <w:szCs w:val="24"/>
        </w:rPr>
        <w:t>s</w:t>
      </w:r>
      <w:r w:rsidR="009C74C5" w:rsidRPr="00B530BB">
        <w:rPr>
          <w:rFonts w:ascii="Times New Roman" w:hAnsi="Times New Roman" w:cs="Times New Roman"/>
          <w:sz w:val="24"/>
          <w:szCs w:val="24"/>
        </w:rPr>
        <w:t xml:space="preserve"> </w:t>
      </w:r>
      <w:r w:rsidR="001646AA" w:rsidRPr="00B530BB">
        <w:rPr>
          <w:rFonts w:ascii="Times New Roman" w:hAnsi="Times New Roman" w:cs="Times New Roman"/>
          <w:sz w:val="24"/>
          <w:szCs w:val="24"/>
        </w:rPr>
        <w:t>7</w:t>
      </w:r>
      <w:r w:rsidR="009C74C5" w:rsidRPr="00B530BB">
        <w:rPr>
          <w:rFonts w:ascii="Times New Roman" w:hAnsi="Times New Roman" w:cs="Times New Roman"/>
          <w:sz w:val="24"/>
          <w:szCs w:val="24"/>
        </w:rPr>
        <w:t xml:space="preserve"> and </w:t>
      </w:r>
      <w:r w:rsidR="001646AA" w:rsidRPr="00B530BB">
        <w:rPr>
          <w:rFonts w:ascii="Times New Roman" w:hAnsi="Times New Roman" w:cs="Times New Roman"/>
          <w:sz w:val="24"/>
          <w:szCs w:val="24"/>
        </w:rPr>
        <w:t>8</w:t>
      </w:r>
      <w:r w:rsidR="009C74C5" w:rsidRPr="00B530BB"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14:paraId="40695B9A" w14:textId="13F9E29F" w:rsidR="00DB0B0A" w:rsidRPr="00B530BB" w:rsidRDefault="00DB0B0A" w:rsidP="002A0139">
      <w:pPr>
        <w:spacing w:after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Table </w:t>
      </w:r>
      <w:r w:rsidR="007519BA" w:rsidRPr="00B530B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compares the coverage </w:t>
      </w:r>
      <w:r w:rsidR="004D4BB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shown 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in Table </w:t>
      </w:r>
      <w:r w:rsidR="007519BA" w:rsidRPr="00B530B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4BB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with 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the baseline </w:t>
      </w:r>
      <w:r w:rsidR="004D4BB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coverage for August 2020 shown in 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Table </w:t>
      </w:r>
      <w:r w:rsidR="007519BA" w:rsidRPr="00B530B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.  The area </w:t>
      </w:r>
      <w:r w:rsidR="004D4BB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further than </w:t>
      </w:r>
      <w:r w:rsidR="00DB0146" w:rsidRPr="00B530BB">
        <w:rPr>
          <w:rFonts w:ascii="Times New Roman" w:hAnsi="Times New Roman"/>
          <w:color w:val="000000" w:themeColor="text1"/>
          <w:sz w:val="24"/>
          <w:szCs w:val="24"/>
        </w:rPr>
        <w:t>45km</w:t>
      </w:r>
      <w:r w:rsidR="004D4BB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from a </w:t>
      </w:r>
      <w:r w:rsidR="00040C38">
        <w:rPr>
          <w:rFonts w:ascii="Times New Roman" w:hAnsi="Times New Roman"/>
          <w:color w:val="000000" w:themeColor="text1"/>
          <w:sz w:val="24"/>
          <w:szCs w:val="24"/>
        </w:rPr>
        <w:t>PK</w:t>
      </w:r>
      <w:r w:rsidR="004D4BB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abattoir increased in both simulations, by 2.3% (from 18.2% to 20.6%) and by 6% (from 18.2% to 24.2%).  </w:t>
      </w:r>
      <w:r w:rsidR="004D4BBD" w:rsidRPr="00B530BB">
        <w:rPr>
          <w:rFonts w:ascii="Times New Roman" w:hAnsi="Times New Roman"/>
          <w:color w:val="000000" w:themeColor="text1"/>
          <w:sz w:val="24"/>
          <w:szCs w:val="24"/>
        </w:rPr>
        <w:t>F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armers in </w:t>
      </w:r>
      <w:r w:rsidR="004D4BBD" w:rsidRPr="00B530BB">
        <w:rPr>
          <w:rFonts w:ascii="Times New Roman" w:hAnsi="Times New Roman"/>
          <w:color w:val="000000" w:themeColor="text1"/>
          <w:sz w:val="24"/>
          <w:szCs w:val="24"/>
        </w:rPr>
        <w:t>areas no longer within 45km of an abattoir will have longer livestock journeys,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4BB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adding to their transport costs and making it more economical to use commercial transports (rather than farm transport) to move livestock, which is 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>likely to result in more complex journeys</w:t>
      </w:r>
      <w:r w:rsidR="004D4BB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from farm to abattoir</w:t>
      </w:r>
      <w:r w:rsidR="00323B30">
        <w:rPr>
          <w:rFonts w:ascii="Times New Roman" w:hAnsi="Times New Roman"/>
          <w:color w:val="000000" w:themeColor="text1"/>
          <w:sz w:val="24"/>
          <w:szCs w:val="24"/>
        </w:rPr>
        <w:t>, more difficult loading and unloading of livestock (due to the steeper ramps needed for commercial transporters) and mixing of livestock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4A0335D" w14:textId="77777777" w:rsidR="00672CE2" w:rsidRDefault="00DB0B0A" w:rsidP="00672CE2">
      <w:pPr>
        <w:spacing w:after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There is also an expansion in the geographical areas covered by </w:t>
      </w:r>
      <w:r w:rsidR="003802A6" w:rsidRPr="00B530BB">
        <w:rPr>
          <w:rFonts w:ascii="Times New Roman" w:hAnsi="Times New Roman"/>
          <w:color w:val="000000" w:themeColor="text1"/>
          <w:sz w:val="24"/>
          <w:szCs w:val="24"/>
        </w:rPr>
        <w:t>one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single abattoir, by 0.3% and 0.1% for the 9% and 1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% runs respectively, and by two abattoirs (1.5% and 1.6% respectively), thus 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>expanding the areas with reduced choice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.  However, the increase is slight, as 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>any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expansion </w:t>
      </w:r>
      <w:r w:rsidR="003802A6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area resulting from the removal of an abattoir is 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partially 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compensated for 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by removal </w:t>
      </w:r>
      <w:r w:rsidR="003802A6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abattoirs 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>from areas covered</w:t>
      </w: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by 3 or more abattoirs</w:t>
      </w:r>
      <w:r w:rsidR="00323B30">
        <w:rPr>
          <w:rFonts w:ascii="Times New Roman" w:hAnsi="Times New Roman"/>
          <w:color w:val="000000" w:themeColor="text1"/>
          <w:sz w:val="24"/>
          <w:szCs w:val="24"/>
        </w:rPr>
        <w:t xml:space="preserve">.  It is this 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>area which has</w:t>
      </w:r>
      <w:r w:rsidR="00103F9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3B30">
        <w:rPr>
          <w:rFonts w:ascii="Times New Roman" w:hAnsi="Times New Roman"/>
          <w:color w:val="000000" w:themeColor="text1"/>
          <w:sz w:val="24"/>
          <w:szCs w:val="24"/>
        </w:rPr>
        <w:t>been most reduced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03F9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by</w:t>
      </w:r>
      <w:r w:rsidR="00D14A1A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4.2% and 7.8%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r w:rsidR="00D14A1A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the 9% and 18% runs respectively.  </w:t>
      </w:r>
      <w:r w:rsidR="00323B30">
        <w:rPr>
          <w:rFonts w:ascii="Times New Roman" w:hAnsi="Times New Roman"/>
          <w:color w:val="000000" w:themeColor="text1"/>
          <w:sz w:val="24"/>
          <w:szCs w:val="24"/>
        </w:rPr>
        <w:t>Although</w:t>
      </w:r>
      <w:r w:rsidR="00D14A1A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the area</w:t>
      </w:r>
      <w:r w:rsidR="00323B3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D14A1A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with three or more abattoirs </w:t>
      </w:r>
      <w:r w:rsidR="00D14A1A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remain substantial (42.8% and 39.3% respectively), 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taken together, </w:t>
      </w:r>
      <w:r w:rsidR="00103F97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these results 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>clearly show th</w:t>
      </w:r>
      <w:r w:rsidR="00323B30">
        <w:rPr>
          <w:rFonts w:ascii="Times New Roman" w:hAnsi="Times New Roman"/>
          <w:color w:val="000000" w:themeColor="text1"/>
          <w:sz w:val="24"/>
          <w:szCs w:val="24"/>
        </w:rPr>
        <w:t>e potential for thi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s methodology to estimate the </w:t>
      </w:r>
      <w:r w:rsidR="00323B30">
        <w:rPr>
          <w:rFonts w:ascii="Times New Roman" w:hAnsi="Times New Roman"/>
          <w:color w:val="000000" w:themeColor="text1"/>
          <w:sz w:val="24"/>
          <w:szCs w:val="24"/>
        </w:rPr>
        <w:t xml:space="preserve">degree of </w:t>
      </w:r>
      <w:r w:rsidR="00D14A1A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“redundancy” </w:t>
      </w:r>
      <w:r w:rsidR="00323B30">
        <w:rPr>
          <w:rFonts w:ascii="Times New Roman" w:hAnsi="Times New Roman"/>
          <w:color w:val="000000" w:themeColor="text1"/>
          <w:sz w:val="24"/>
          <w:szCs w:val="24"/>
        </w:rPr>
        <w:t xml:space="preserve">found 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040C38">
        <w:rPr>
          <w:rFonts w:ascii="Times New Roman" w:hAnsi="Times New Roman"/>
          <w:color w:val="000000" w:themeColor="text1"/>
          <w:sz w:val="24"/>
          <w:szCs w:val="24"/>
        </w:rPr>
        <w:t>PK</w:t>
      </w:r>
      <w:r w:rsidR="002F44AB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provision across the </w:t>
      </w:r>
      <w:r w:rsidR="00323B30">
        <w:rPr>
          <w:rFonts w:ascii="Times New Roman" w:hAnsi="Times New Roman"/>
          <w:color w:val="000000" w:themeColor="text1"/>
          <w:sz w:val="24"/>
          <w:szCs w:val="24"/>
        </w:rPr>
        <w:t>UK</w:t>
      </w:r>
      <w:r w:rsidR="00D14A1A" w:rsidRPr="00B530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085D653" w14:textId="697C0717" w:rsidR="00F63B36" w:rsidRDefault="00103F97" w:rsidP="00F63B36">
      <w:p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Therefore, the results confirm that </w:t>
      </w:r>
      <w:r w:rsidR="00672C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14A1A" w:rsidRPr="00B530BB">
        <w:rPr>
          <w:rFonts w:ascii="Times New Roman" w:hAnsi="Times New Roman"/>
          <w:sz w:val="24"/>
          <w:szCs w:val="24"/>
        </w:rPr>
        <w:t xml:space="preserve"> </w:t>
      </w:r>
      <w:r w:rsidR="002F44AB" w:rsidRPr="00B530BB">
        <w:rPr>
          <w:rFonts w:ascii="Times New Roman" w:hAnsi="Times New Roman"/>
          <w:sz w:val="24"/>
          <w:szCs w:val="24"/>
        </w:rPr>
        <w:t>combination of survey</w:t>
      </w:r>
      <w:r w:rsidR="00672CE2">
        <w:rPr>
          <w:rFonts w:ascii="Times New Roman" w:hAnsi="Times New Roman"/>
          <w:sz w:val="24"/>
          <w:szCs w:val="24"/>
        </w:rPr>
        <w:t>s</w:t>
      </w:r>
      <w:r w:rsidR="002F44AB" w:rsidRPr="00B530BB">
        <w:rPr>
          <w:rFonts w:ascii="Times New Roman" w:hAnsi="Times New Roman"/>
          <w:sz w:val="24"/>
          <w:szCs w:val="24"/>
        </w:rPr>
        <w:t xml:space="preserve"> and </w:t>
      </w:r>
      <w:r w:rsidR="00672CE2">
        <w:rPr>
          <w:rFonts w:ascii="Times New Roman" w:hAnsi="Times New Roman"/>
          <w:sz w:val="24"/>
          <w:szCs w:val="24"/>
        </w:rPr>
        <w:t xml:space="preserve">the </w:t>
      </w:r>
      <w:r w:rsidR="002F44AB" w:rsidRPr="00B530BB">
        <w:rPr>
          <w:rFonts w:ascii="Times New Roman" w:hAnsi="Times New Roman"/>
          <w:sz w:val="24"/>
          <w:szCs w:val="24"/>
        </w:rPr>
        <w:t>e</w:t>
      </w:r>
      <w:r w:rsidR="00672CE2">
        <w:rPr>
          <w:rFonts w:ascii="Times New Roman" w:hAnsi="Times New Roman"/>
          <w:sz w:val="24"/>
          <w:szCs w:val="24"/>
        </w:rPr>
        <w:t>limination of PK abattoirs used in t</w:t>
      </w:r>
      <w:r w:rsidR="00D14A1A" w:rsidRPr="00B530BB">
        <w:rPr>
          <w:rFonts w:ascii="Times New Roman" w:hAnsi="Times New Roman"/>
          <w:sz w:val="24"/>
          <w:szCs w:val="24"/>
        </w:rPr>
        <w:t xml:space="preserve">his study </w:t>
      </w:r>
      <w:r w:rsidR="002F44AB" w:rsidRPr="00B530BB">
        <w:rPr>
          <w:rFonts w:ascii="Times New Roman" w:hAnsi="Times New Roman"/>
          <w:sz w:val="24"/>
          <w:szCs w:val="24"/>
        </w:rPr>
        <w:t xml:space="preserve">can </w:t>
      </w:r>
      <w:r w:rsidR="00D14A1A" w:rsidRPr="00B530BB">
        <w:rPr>
          <w:rFonts w:ascii="Times New Roman" w:hAnsi="Times New Roman"/>
          <w:sz w:val="24"/>
          <w:szCs w:val="24"/>
        </w:rPr>
        <w:t xml:space="preserve">assess the robustness of the network of </w:t>
      </w:r>
      <w:r w:rsidR="00040C38">
        <w:rPr>
          <w:rFonts w:ascii="Times New Roman" w:hAnsi="Times New Roman"/>
          <w:sz w:val="24"/>
          <w:szCs w:val="24"/>
        </w:rPr>
        <w:t>PK</w:t>
      </w:r>
      <w:r w:rsidR="00D14A1A" w:rsidRPr="00B530BB">
        <w:rPr>
          <w:rFonts w:ascii="Times New Roman" w:hAnsi="Times New Roman"/>
          <w:sz w:val="24"/>
          <w:szCs w:val="24"/>
        </w:rPr>
        <w:t xml:space="preserve"> abattoirs</w:t>
      </w:r>
      <w:r w:rsidRPr="00B530BB">
        <w:rPr>
          <w:rFonts w:ascii="Times New Roman" w:hAnsi="Times New Roman"/>
          <w:sz w:val="24"/>
          <w:szCs w:val="24"/>
        </w:rPr>
        <w:t>.  However</w:t>
      </w:r>
      <w:r w:rsidR="00D14A1A" w:rsidRPr="00B530BB">
        <w:rPr>
          <w:rFonts w:ascii="Times New Roman" w:hAnsi="Times New Roman"/>
          <w:sz w:val="24"/>
          <w:szCs w:val="24"/>
        </w:rPr>
        <w:t xml:space="preserve">, to be </w:t>
      </w:r>
      <w:r w:rsidR="00672CE2">
        <w:rPr>
          <w:rFonts w:ascii="Times New Roman" w:hAnsi="Times New Roman"/>
          <w:sz w:val="24"/>
          <w:szCs w:val="24"/>
        </w:rPr>
        <w:t xml:space="preserve">more </w:t>
      </w:r>
      <w:r w:rsidRPr="00B530BB">
        <w:rPr>
          <w:rFonts w:ascii="Times New Roman" w:hAnsi="Times New Roman"/>
          <w:sz w:val="24"/>
          <w:szCs w:val="24"/>
        </w:rPr>
        <w:t xml:space="preserve">useful </w:t>
      </w:r>
      <w:r w:rsidR="002F44AB" w:rsidRPr="00B530BB">
        <w:rPr>
          <w:rFonts w:ascii="Times New Roman" w:hAnsi="Times New Roman"/>
          <w:sz w:val="24"/>
          <w:szCs w:val="24"/>
        </w:rPr>
        <w:t>for</w:t>
      </w:r>
      <w:r w:rsidR="00D14A1A" w:rsidRPr="00B530BB">
        <w:rPr>
          <w:rFonts w:ascii="Times New Roman" w:hAnsi="Times New Roman"/>
          <w:sz w:val="24"/>
          <w:szCs w:val="24"/>
        </w:rPr>
        <w:t xml:space="preserve"> </w:t>
      </w:r>
      <w:r w:rsidR="00B44BBB" w:rsidRPr="00B530BB">
        <w:rPr>
          <w:rFonts w:ascii="Times New Roman" w:hAnsi="Times New Roman"/>
          <w:sz w:val="24"/>
          <w:szCs w:val="24"/>
        </w:rPr>
        <w:t xml:space="preserve">the purpose of </w:t>
      </w:r>
      <w:r w:rsidR="00D14A1A" w:rsidRPr="00B530BB">
        <w:rPr>
          <w:rFonts w:ascii="Times New Roman" w:hAnsi="Times New Roman"/>
          <w:sz w:val="24"/>
          <w:szCs w:val="24"/>
        </w:rPr>
        <w:t xml:space="preserve">developing </w:t>
      </w:r>
      <w:r w:rsidR="002F44AB" w:rsidRPr="00B530BB">
        <w:rPr>
          <w:rFonts w:ascii="Times New Roman" w:hAnsi="Times New Roman"/>
          <w:sz w:val="24"/>
          <w:szCs w:val="24"/>
        </w:rPr>
        <w:t xml:space="preserve">the </w:t>
      </w:r>
      <w:r w:rsidRPr="00B530BB">
        <w:rPr>
          <w:rFonts w:ascii="Times New Roman" w:hAnsi="Times New Roman"/>
          <w:sz w:val="24"/>
          <w:szCs w:val="24"/>
        </w:rPr>
        <w:t>policies and instruments</w:t>
      </w:r>
      <w:r w:rsidR="00D14A1A" w:rsidRPr="00B530BB">
        <w:rPr>
          <w:rFonts w:ascii="Times New Roman" w:hAnsi="Times New Roman"/>
          <w:sz w:val="24"/>
          <w:szCs w:val="24"/>
        </w:rPr>
        <w:t xml:space="preserve"> needed to </w:t>
      </w:r>
      <w:r w:rsidR="002F44AB" w:rsidRPr="00B530BB">
        <w:rPr>
          <w:rFonts w:ascii="Times New Roman" w:hAnsi="Times New Roman"/>
          <w:sz w:val="24"/>
          <w:szCs w:val="24"/>
        </w:rPr>
        <w:t xml:space="preserve">support the </w:t>
      </w:r>
      <w:r w:rsidR="00040C38">
        <w:rPr>
          <w:rFonts w:ascii="Times New Roman" w:hAnsi="Times New Roman"/>
          <w:sz w:val="24"/>
          <w:szCs w:val="24"/>
        </w:rPr>
        <w:t>PK</w:t>
      </w:r>
      <w:r w:rsidR="002F44AB" w:rsidRPr="00B530BB">
        <w:rPr>
          <w:rFonts w:ascii="Times New Roman" w:hAnsi="Times New Roman"/>
          <w:sz w:val="24"/>
          <w:szCs w:val="24"/>
        </w:rPr>
        <w:t xml:space="preserve"> network</w:t>
      </w:r>
      <w:r w:rsidR="00D14A1A" w:rsidRPr="00B530BB">
        <w:rPr>
          <w:rFonts w:ascii="Times New Roman" w:hAnsi="Times New Roman"/>
          <w:sz w:val="24"/>
          <w:szCs w:val="24"/>
        </w:rPr>
        <w:t xml:space="preserve">, </w:t>
      </w:r>
      <w:r w:rsidRPr="00B530BB">
        <w:rPr>
          <w:rFonts w:ascii="Times New Roman" w:hAnsi="Times New Roman"/>
          <w:sz w:val="24"/>
          <w:szCs w:val="24"/>
        </w:rPr>
        <w:t xml:space="preserve">abattoir- and farmer-specific </w:t>
      </w:r>
      <w:r w:rsidR="00D14A1A" w:rsidRPr="00B530BB">
        <w:rPr>
          <w:rFonts w:ascii="Times New Roman" w:hAnsi="Times New Roman"/>
          <w:sz w:val="24"/>
          <w:szCs w:val="24"/>
        </w:rPr>
        <w:t xml:space="preserve">information is needed </w:t>
      </w:r>
      <w:r w:rsidRPr="00B530BB">
        <w:rPr>
          <w:rFonts w:ascii="Times New Roman" w:hAnsi="Times New Roman"/>
          <w:sz w:val="24"/>
          <w:szCs w:val="24"/>
        </w:rPr>
        <w:t xml:space="preserve">to identify </w:t>
      </w:r>
      <w:r w:rsidR="00672CE2">
        <w:rPr>
          <w:rFonts w:ascii="Times New Roman" w:hAnsi="Times New Roman"/>
          <w:sz w:val="24"/>
          <w:szCs w:val="24"/>
        </w:rPr>
        <w:t xml:space="preserve">those </w:t>
      </w:r>
      <w:r w:rsidRPr="00B530BB">
        <w:rPr>
          <w:rFonts w:ascii="Times New Roman" w:hAnsi="Times New Roman"/>
          <w:sz w:val="24"/>
          <w:szCs w:val="24"/>
        </w:rPr>
        <w:t xml:space="preserve">abattoirs </w:t>
      </w:r>
      <w:r w:rsidR="00B44BBB" w:rsidRPr="00B530BB">
        <w:rPr>
          <w:rFonts w:ascii="Times New Roman" w:hAnsi="Times New Roman"/>
          <w:sz w:val="24"/>
          <w:szCs w:val="24"/>
        </w:rPr>
        <w:t xml:space="preserve">that are </w:t>
      </w:r>
      <w:r w:rsidRPr="00B530BB">
        <w:rPr>
          <w:rFonts w:ascii="Times New Roman" w:hAnsi="Times New Roman"/>
          <w:sz w:val="24"/>
          <w:szCs w:val="24"/>
        </w:rPr>
        <w:t>most likely to close</w:t>
      </w:r>
      <w:r w:rsidR="002F44AB" w:rsidRPr="00B530BB">
        <w:rPr>
          <w:rFonts w:ascii="Times New Roman" w:hAnsi="Times New Roman"/>
          <w:sz w:val="24"/>
          <w:szCs w:val="24"/>
        </w:rPr>
        <w:t xml:space="preserve"> (thus</w:t>
      </w:r>
      <w:r w:rsidRPr="00B530BB">
        <w:rPr>
          <w:rFonts w:ascii="Times New Roman" w:hAnsi="Times New Roman"/>
          <w:sz w:val="24"/>
          <w:szCs w:val="24"/>
        </w:rPr>
        <w:t xml:space="preserve"> removing the need to identify closure</w:t>
      </w:r>
      <w:r w:rsidR="00672CE2">
        <w:rPr>
          <w:rFonts w:ascii="Times New Roman" w:hAnsi="Times New Roman"/>
          <w:sz w:val="24"/>
          <w:szCs w:val="24"/>
        </w:rPr>
        <w:t>s</w:t>
      </w:r>
      <w:r w:rsidRPr="00B530BB">
        <w:rPr>
          <w:rFonts w:ascii="Times New Roman" w:hAnsi="Times New Roman"/>
          <w:sz w:val="24"/>
          <w:szCs w:val="24"/>
        </w:rPr>
        <w:t xml:space="preserve"> </w:t>
      </w:r>
      <w:r w:rsidR="00672CE2">
        <w:rPr>
          <w:rFonts w:ascii="Times New Roman" w:hAnsi="Times New Roman"/>
          <w:sz w:val="24"/>
          <w:szCs w:val="24"/>
        </w:rPr>
        <w:t>by</w:t>
      </w:r>
      <w:r w:rsidRPr="00B530BB">
        <w:rPr>
          <w:rFonts w:ascii="Times New Roman" w:hAnsi="Times New Roman"/>
          <w:sz w:val="24"/>
          <w:szCs w:val="24"/>
        </w:rPr>
        <w:t xml:space="preserve"> </w:t>
      </w:r>
      <w:r w:rsidR="00672CE2">
        <w:rPr>
          <w:rFonts w:ascii="Times New Roman" w:hAnsi="Times New Roman"/>
          <w:sz w:val="24"/>
          <w:szCs w:val="24"/>
        </w:rPr>
        <w:t xml:space="preserve">random </w:t>
      </w:r>
      <w:r w:rsidRPr="00B530BB">
        <w:rPr>
          <w:rFonts w:ascii="Times New Roman" w:hAnsi="Times New Roman"/>
          <w:sz w:val="24"/>
          <w:szCs w:val="24"/>
        </w:rPr>
        <w:t>s</w:t>
      </w:r>
      <w:r w:rsidR="00672CE2">
        <w:rPr>
          <w:rFonts w:ascii="Times New Roman" w:hAnsi="Times New Roman"/>
          <w:sz w:val="24"/>
          <w:szCs w:val="24"/>
        </w:rPr>
        <w:t>election</w:t>
      </w:r>
      <w:r w:rsidR="002F44AB" w:rsidRPr="00B530BB">
        <w:rPr>
          <w:rFonts w:ascii="Times New Roman" w:hAnsi="Times New Roman"/>
          <w:sz w:val="24"/>
          <w:szCs w:val="24"/>
        </w:rPr>
        <w:t>) and the change in distance and complexity of livestock journeys from farm to abattoir</w:t>
      </w:r>
      <w:r w:rsidR="00D14A1A" w:rsidRPr="00B530BB">
        <w:rPr>
          <w:rFonts w:ascii="Times New Roman" w:hAnsi="Times New Roman"/>
          <w:sz w:val="24"/>
          <w:szCs w:val="24"/>
        </w:rPr>
        <w:t>.</w:t>
      </w:r>
      <w:r w:rsidR="00F63B36">
        <w:rPr>
          <w:rFonts w:ascii="Times New Roman" w:hAnsi="Times New Roman"/>
          <w:sz w:val="24"/>
          <w:szCs w:val="24"/>
        </w:rPr>
        <w:br w:type="page"/>
      </w:r>
    </w:p>
    <w:p w14:paraId="7755F6B1" w14:textId="57BDE58B" w:rsidR="00D14A1A" w:rsidRPr="00B530BB" w:rsidRDefault="007C3779" w:rsidP="007C3779">
      <w:p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lastRenderedPageBreak/>
        <w:t>Table 2.  The average areas averaged across all seven Monte</w:t>
      </w:r>
      <w:r w:rsidR="00410BF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>Carlo simulations, and the simulations that show the smallest and largest areas further than 45kms from a private kill service</w:t>
      </w:r>
      <w:r w:rsidRPr="00B530BB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Style w:val="TableGrid"/>
        <w:tblpPr w:leftFromText="180" w:rightFromText="180" w:vertAnchor="page" w:horzAnchor="margin" w:tblpY="2999"/>
        <w:tblW w:w="0" w:type="auto"/>
        <w:tblLook w:val="04A0" w:firstRow="1" w:lastRow="0" w:firstColumn="1" w:lastColumn="0" w:noHBand="0" w:noVBand="1"/>
      </w:tblPr>
      <w:tblGrid>
        <w:gridCol w:w="1236"/>
        <w:gridCol w:w="1103"/>
        <w:gridCol w:w="1094"/>
        <w:gridCol w:w="1126"/>
        <w:gridCol w:w="1120"/>
        <w:gridCol w:w="1091"/>
        <w:gridCol w:w="1126"/>
        <w:gridCol w:w="1120"/>
      </w:tblGrid>
      <w:tr w:rsidR="00F63B36" w:rsidRPr="00B530BB" w14:paraId="5FF82885" w14:textId="77777777" w:rsidTr="00F63B36">
        <w:trPr>
          <w:trHeight w:val="20"/>
        </w:trPr>
        <w:tc>
          <w:tcPr>
            <w:tcW w:w="0" w:type="auto"/>
            <w:vMerge w:val="restart"/>
          </w:tcPr>
          <w:p w14:paraId="5D76B361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bookmarkStart w:id="1" w:name="_Hlk92362583"/>
            <w:r w:rsidRPr="00846B73">
              <w:rPr>
                <w:rFonts w:ascii="Times New Roman" w:hAnsi="Times New Roman"/>
              </w:rPr>
              <w:t>% of abattoirs randomly removed (number)</w:t>
            </w:r>
          </w:p>
        </w:tc>
        <w:tc>
          <w:tcPr>
            <w:tcW w:w="0" w:type="auto"/>
            <w:vMerge w:val="restart"/>
            <w:vAlign w:val="bottom"/>
          </w:tcPr>
          <w:p w14:paraId="2DCC847E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Number of abattoirs within 45km</w:t>
            </w:r>
          </w:p>
        </w:tc>
        <w:tc>
          <w:tcPr>
            <w:tcW w:w="0" w:type="auto"/>
            <w:gridSpan w:val="3"/>
            <w:vAlign w:val="bottom"/>
          </w:tcPr>
          <w:p w14:paraId="1A039551" w14:textId="2C279C10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Km</w:t>
            </w:r>
            <w:r w:rsidR="00F65024" w:rsidRPr="00F65024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846B73">
              <w:rPr>
                <w:rFonts w:ascii="Times New Roman" w:hAnsi="Times New Roman"/>
                <w:color w:val="000000"/>
              </w:rPr>
              <w:t xml:space="preserve"> coverage</w:t>
            </w:r>
          </w:p>
        </w:tc>
        <w:tc>
          <w:tcPr>
            <w:tcW w:w="0" w:type="auto"/>
            <w:gridSpan w:val="3"/>
            <w:vAlign w:val="bottom"/>
          </w:tcPr>
          <w:p w14:paraId="1683F91A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% coverage</w:t>
            </w:r>
          </w:p>
        </w:tc>
      </w:tr>
      <w:tr w:rsidR="00F63B36" w:rsidRPr="00B530BB" w14:paraId="2271CDAF" w14:textId="77777777" w:rsidTr="00F63B36">
        <w:trPr>
          <w:trHeight w:val="20"/>
        </w:trPr>
        <w:tc>
          <w:tcPr>
            <w:tcW w:w="0" w:type="auto"/>
            <w:vMerge/>
            <w:vAlign w:val="center"/>
          </w:tcPr>
          <w:p w14:paraId="4E375A7F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14:paraId="3C978E5B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D3D1932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Average across all seven data sets</w:t>
            </w:r>
          </w:p>
        </w:tc>
        <w:tc>
          <w:tcPr>
            <w:tcW w:w="0" w:type="auto"/>
            <w:vAlign w:val="center"/>
          </w:tcPr>
          <w:p w14:paraId="4BFC485D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Smallest area without coverage</w:t>
            </w:r>
          </w:p>
        </w:tc>
        <w:tc>
          <w:tcPr>
            <w:tcW w:w="0" w:type="auto"/>
            <w:vAlign w:val="center"/>
          </w:tcPr>
          <w:p w14:paraId="2870F047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Largest area without coverage</w:t>
            </w:r>
          </w:p>
        </w:tc>
        <w:tc>
          <w:tcPr>
            <w:tcW w:w="0" w:type="auto"/>
            <w:vAlign w:val="center"/>
          </w:tcPr>
          <w:p w14:paraId="0FBE9B21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Average across all seven datasets</w:t>
            </w:r>
          </w:p>
        </w:tc>
        <w:tc>
          <w:tcPr>
            <w:tcW w:w="0" w:type="auto"/>
            <w:vAlign w:val="center"/>
          </w:tcPr>
          <w:p w14:paraId="1E51F178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Smallest area without coverage</w:t>
            </w:r>
          </w:p>
        </w:tc>
        <w:tc>
          <w:tcPr>
            <w:tcW w:w="0" w:type="auto"/>
            <w:vAlign w:val="center"/>
          </w:tcPr>
          <w:p w14:paraId="48A95013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Largest area without coverage</w:t>
            </w:r>
          </w:p>
        </w:tc>
      </w:tr>
      <w:tr w:rsidR="00F63B36" w:rsidRPr="00B530BB" w14:paraId="0BF4F503" w14:textId="77777777" w:rsidTr="00F63B36">
        <w:trPr>
          <w:trHeight w:val="20"/>
        </w:trPr>
        <w:tc>
          <w:tcPr>
            <w:tcW w:w="0" w:type="auto"/>
            <w:vMerge w:val="restart"/>
            <w:vAlign w:val="center"/>
          </w:tcPr>
          <w:p w14:paraId="02EC71D1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46B73">
              <w:rPr>
                <w:rFonts w:ascii="Times New Roman" w:hAnsi="Times New Roman"/>
              </w:rPr>
              <w:t>9% (13)</w:t>
            </w:r>
          </w:p>
        </w:tc>
        <w:tc>
          <w:tcPr>
            <w:tcW w:w="0" w:type="auto"/>
            <w:vAlign w:val="bottom"/>
          </w:tcPr>
          <w:p w14:paraId="43D71E17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14:paraId="2EAA36EB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50,239</w:t>
            </w:r>
          </w:p>
        </w:tc>
        <w:tc>
          <w:tcPr>
            <w:tcW w:w="0" w:type="auto"/>
            <w:vAlign w:val="bottom"/>
          </w:tcPr>
          <w:p w14:paraId="5309A8B1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45,402</w:t>
            </w:r>
          </w:p>
        </w:tc>
        <w:tc>
          <w:tcPr>
            <w:tcW w:w="0" w:type="auto"/>
            <w:vAlign w:val="bottom"/>
          </w:tcPr>
          <w:p w14:paraId="3499678B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56,309</w:t>
            </w:r>
          </w:p>
        </w:tc>
        <w:tc>
          <w:tcPr>
            <w:tcW w:w="0" w:type="auto"/>
            <w:vAlign w:val="bottom"/>
          </w:tcPr>
          <w:p w14:paraId="7C25FFC8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20.6%</w:t>
            </w:r>
          </w:p>
        </w:tc>
        <w:tc>
          <w:tcPr>
            <w:tcW w:w="0" w:type="auto"/>
            <w:vAlign w:val="bottom"/>
          </w:tcPr>
          <w:p w14:paraId="58D29603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18.6%</w:t>
            </w:r>
          </w:p>
        </w:tc>
        <w:tc>
          <w:tcPr>
            <w:tcW w:w="0" w:type="auto"/>
            <w:vAlign w:val="bottom"/>
          </w:tcPr>
          <w:p w14:paraId="21D1E2C2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23.1%</w:t>
            </w:r>
          </w:p>
        </w:tc>
      </w:tr>
      <w:tr w:rsidR="00F63B36" w:rsidRPr="00B530BB" w14:paraId="30680068" w14:textId="77777777" w:rsidTr="00F63B36">
        <w:trPr>
          <w:trHeight w:val="20"/>
        </w:trPr>
        <w:tc>
          <w:tcPr>
            <w:tcW w:w="0" w:type="auto"/>
            <w:vMerge/>
            <w:vAlign w:val="center"/>
          </w:tcPr>
          <w:p w14:paraId="4F6820F9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14:paraId="68C5C2BA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14:paraId="05CC4459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51,808</w:t>
            </w:r>
          </w:p>
        </w:tc>
        <w:tc>
          <w:tcPr>
            <w:tcW w:w="0" w:type="auto"/>
            <w:vAlign w:val="bottom"/>
          </w:tcPr>
          <w:p w14:paraId="0866B798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48,235</w:t>
            </w:r>
          </w:p>
        </w:tc>
        <w:tc>
          <w:tcPr>
            <w:tcW w:w="0" w:type="auto"/>
            <w:vAlign w:val="bottom"/>
          </w:tcPr>
          <w:p w14:paraId="679DEA9A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57,591</w:t>
            </w:r>
          </w:p>
        </w:tc>
        <w:tc>
          <w:tcPr>
            <w:tcW w:w="0" w:type="auto"/>
            <w:vAlign w:val="bottom"/>
          </w:tcPr>
          <w:p w14:paraId="303E127A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21.2%</w:t>
            </w:r>
          </w:p>
        </w:tc>
        <w:tc>
          <w:tcPr>
            <w:tcW w:w="0" w:type="auto"/>
            <w:vAlign w:val="bottom"/>
          </w:tcPr>
          <w:p w14:paraId="5857A7D0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19.8%</w:t>
            </w:r>
          </w:p>
        </w:tc>
        <w:tc>
          <w:tcPr>
            <w:tcW w:w="0" w:type="auto"/>
            <w:vAlign w:val="bottom"/>
          </w:tcPr>
          <w:p w14:paraId="35CDBA11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23.6%</w:t>
            </w:r>
          </w:p>
        </w:tc>
      </w:tr>
      <w:tr w:rsidR="00F63B36" w:rsidRPr="00B530BB" w14:paraId="4B7A43E0" w14:textId="77777777" w:rsidTr="00F63B36">
        <w:trPr>
          <w:trHeight w:val="20"/>
        </w:trPr>
        <w:tc>
          <w:tcPr>
            <w:tcW w:w="0" w:type="auto"/>
            <w:vMerge/>
            <w:vAlign w:val="center"/>
          </w:tcPr>
          <w:p w14:paraId="20E474A5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14:paraId="775B8FC4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14:paraId="0EA74A64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37,571</w:t>
            </w:r>
          </w:p>
        </w:tc>
        <w:tc>
          <w:tcPr>
            <w:tcW w:w="0" w:type="auto"/>
            <w:vAlign w:val="bottom"/>
          </w:tcPr>
          <w:p w14:paraId="42DD9F4B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34,869</w:t>
            </w:r>
          </w:p>
        </w:tc>
        <w:tc>
          <w:tcPr>
            <w:tcW w:w="0" w:type="auto"/>
            <w:vAlign w:val="bottom"/>
          </w:tcPr>
          <w:p w14:paraId="4B34C63B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40,377</w:t>
            </w:r>
          </w:p>
        </w:tc>
        <w:tc>
          <w:tcPr>
            <w:tcW w:w="0" w:type="auto"/>
            <w:vAlign w:val="bottom"/>
          </w:tcPr>
          <w:p w14:paraId="42A591EF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15.4%</w:t>
            </w:r>
          </w:p>
        </w:tc>
        <w:tc>
          <w:tcPr>
            <w:tcW w:w="0" w:type="auto"/>
            <w:vAlign w:val="bottom"/>
          </w:tcPr>
          <w:p w14:paraId="64DC691F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14.3%</w:t>
            </w:r>
          </w:p>
        </w:tc>
        <w:tc>
          <w:tcPr>
            <w:tcW w:w="0" w:type="auto"/>
            <w:vAlign w:val="bottom"/>
          </w:tcPr>
          <w:p w14:paraId="76B9A84B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16.5%</w:t>
            </w:r>
          </w:p>
        </w:tc>
      </w:tr>
      <w:tr w:rsidR="00F63B36" w:rsidRPr="00B530BB" w14:paraId="0EF18B72" w14:textId="77777777" w:rsidTr="00F63B36">
        <w:trPr>
          <w:trHeight w:val="20"/>
        </w:trPr>
        <w:tc>
          <w:tcPr>
            <w:tcW w:w="0" w:type="auto"/>
            <w:vMerge/>
            <w:vAlign w:val="center"/>
          </w:tcPr>
          <w:p w14:paraId="2C8AC151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14:paraId="62270B34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3 or more</w:t>
            </w:r>
          </w:p>
        </w:tc>
        <w:tc>
          <w:tcPr>
            <w:tcW w:w="0" w:type="auto"/>
            <w:vAlign w:val="bottom"/>
          </w:tcPr>
          <w:p w14:paraId="0EE5AE5F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104,609</w:t>
            </w:r>
          </w:p>
        </w:tc>
        <w:tc>
          <w:tcPr>
            <w:tcW w:w="0" w:type="auto"/>
            <w:vAlign w:val="bottom"/>
          </w:tcPr>
          <w:p w14:paraId="1C5F3C3E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101,312</w:t>
            </w:r>
          </w:p>
        </w:tc>
        <w:tc>
          <w:tcPr>
            <w:tcW w:w="0" w:type="auto"/>
            <w:vAlign w:val="bottom"/>
          </w:tcPr>
          <w:p w14:paraId="0C96E62D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109,550</w:t>
            </w:r>
          </w:p>
        </w:tc>
        <w:tc>
          <w:tcPr>
            <w:tcW w:w="0" w:type="auto"/>
            <w:vAlign w:val="bottom"/>
          </w:tcPr>
          <w:p w14:paraId="1409030C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42.8%</w:t>
            </w:r>
          </w:p>
        </w:tc>
        <w:tc>
          <w:tcPr>
            <w:tcW w:w="0" w:type="auto"/>
            <w:vAlign w:val="bottom"/>
          </w:tcPr>
          <w:p w14:paraId="38C6ADC4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41.5%</w:t>
            </w:r>
          </w:p>
        </w:tc>
        <w:tc>
          <w:tcPr>
            <w:tcW w:w="0" w:type="auto"/>
            <w:vAlign w:val="bottom"/>
          </w:tcPr>
          <w:p w14:paraId="3904F9D7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44.9%</w:t>
            </w:r>
          </w:p>
        </w:tc>
      </w:tr>
      <w:tr w:rsidR="00F63B36" w:rsidRPr="00B530BB" w14:paraId="6F1174A4" w14:textId="77777777" w:rsidTr="00F63B36">
        <w:trPr>
          <w:trHeight w:val="20"/>
        </w:trPr>
        <w:tc>
          <w:tcPr>
            <w:tcW w:w="0" w:type="auto"/>
            <w:vMerge/>
            <w:vAlign w:val="center"/>
          </w:tcPr>
          <w:p w14:paraId="637F3BD3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14:paraId="2326FC53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6B73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0" w:type="auto"/>
            <w:vAlign w:val="bottom"/>
          </w:tcPr>
          <w:p w14:paraId="29AABA7F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46B73">
              <w:rPr>
                <w:rFonts w:ascii="Times New Roman" w:hAnsi="Times New Roman"/>
                <w:b/>
                <w:bCs/>
                <w:color w:val="000000"/>
              </w:rPr>
              <w:t>244,226</w:t>
            </w:r>
          </w:p>
        </w:tc>
        <w:tc>
          <w:tcPr>
            <w:tcW w:w="0" w:type="auto"/>
            <w:gridSpan w:val="2"/>
            <w:vAlign w:val="bottom"/>
          </w:tcPr>
          <w:p w14:paraId="15C15269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3483496E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46B73">
              <w:rPr>
                <w:rFonts w:ascii="Times New Roman" w:hAnsi="Times New Roman"/>
                <w:b/>
                <w:bCs/>
                <w:color w:val="000000"/>
              </w:rPr>
              <w:t>100%</w:t>
            </w:r>
          </w:p>
        </w:tc>
        <w:tc>
          <w:tcPr>
            <w:tcW w:w="0" w:type="auto"/>
            <w:gridSpan w:val="2"/>
          </w:tcPr>
          <w:p w14:paraId="2BA4DF26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63B36" w:rsidRPr="00B530BB" w14:paraId="605B7732" w14:textId="77777777" w:rsidTr="00F63B36">
        <w:trPr>
          <w:trHeight w:val="20"/>
        </w:trPr>
        <w:tc>
          <w:tcPr>
            <w:tcW w:w="0" w:type="auto"/>
            <w:vMerge w:val="restart"/>
            <w:vAlign w:val="center"/>
          </w:tcPr>
          <w:p w14:paraId="0BB4AE7E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46B73">
              <w:rPr>
                <w:rFonts w:ascii="Times New Roman" w:hAnsi="Times New Roman"/>
              </w:rPr>
              <w:t>18% (26)</w:t>
            </w:r>
          </w:p>
        </w:tc>
        <w:tc>
          <w:tcPr>
            <w:tcW w:w="0" w:type="auto"/>
            <w:vAlign w:val="bottom"/>
          </w:tcPr>
          <w:p w14:paraId="2D96D571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14:paraId="0E871656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59,151</w:t>
            </w:r>
          </w:p>
        </w:tc>
        <w:tc>
          <w:tcPr>
            <w:tcW w:w="0" w:type="auto"/>
            <w:vAlign w:val="bottom"/>
          </w:tcPr>
          <w:p w14:paraId="6F70A340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49,797</w:t>
            </w:r>
          </w:p>
        </w:tc>
        <w:tc>
          <w:tcPr>
            <w:tcW w:w="0" w:type="auto"/>
            <w:vAlign w:val="bottom"/>
          </w:tcPr>
          <w:p w14:paraId="4F33CF6D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78,991</w:t>
            </w:r>
          </w:p>
        </w:tc>
        <w:tc>
          <w:tcPr>
            <w:tcW w:w="0" w:type="auto"/>
            <w:vAlign w:val="bottom"/>
          </w:tcPr>
          <w:p w14:paraId="11A96822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24.2%</w:t>
            </w:r>
          </w:p>
        </w:tc>
        <w:tc>
          <w:tcPr>
            <w:tcW w:w="0" w:type="auto"/>
            <w:vAlign w:val="bottom"/>
          </w:tcPr>
          <w:p w14:paraId="2B0CAA88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20.4%</w:t>
            </w:r>
          </w:p>
        </w:tc>
        <w:tc>
          <w:tcPr>
            <w:tcW w:w="0" w:type="auto"/>
            <w:vAlign w:val="bottom"/>
          </w:tcPr>
          <w:p w14:paraId="1FF6F681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32.3%</w:t>
            </w:r>
          </w:p>
        </w:tc>
      </w:tr>
      <w:tr w:rsidR="00F63B36" w:rsidRPr="00B530BB" w14:paraId="05700CAC" w14:textId="77777777" w:rsidTr="00F63B36">
        <w:trPr>
          <w:trHeight w:val="20"/>
        </w:trPr>
        <w:tc>
          <w:tcPr>
            <w:tcW w:w="0" w:type="auto"/>
            <w:vMerge/>
          </w:tcPr>
          <w:p w14:paraId="2FF8AC2E" w14:textId="77777777" w:rsidR="00F63B36" w:rsidRPr="00846B73" w:rsidRDefault="00F63B36" w:rsidP="00F63B3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14:paraId="71F23394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14:paraId="73B1B0EB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51,337</w:t>
            </w:r>
          </w:p>
        </w:tc>
        <w:tc>
          <w:tcPr>
            <w:tcW w:w="0" w:type="auto"/>
            <w:vAlign w:val="bottom"/>
          </w:tcPr>
          <w:p w14:paraId="02DD26D4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37,686</w:t>
            </w:r>
          </w:p>
        </w:tc>
        <w:tc>
          <w:tcPr>
            <w:tcW w:w="0" w:type="auto"/>
            <w:vAlign w:val="bottom"/>
          </w:tcPr>
          <w:p w14:paraId="79274570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61,499</w:t>
            </w:r>
          </w:p>
        </w:tc>
        <w:tc>
          <w:tcPr>
            <w:tcW w:w="0" w:type="auto"/>
            <w:vAlign w:val="bottom"/>
          </w:tcPr>
          <w:p w14:paraId="729FE341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21.0%</w:t>
            </w:r>
          </w:p>
        </w:tc>
        <w:tc>
          <w:tcPr>
            <w:tcW w:w="0" w:type="auto"/>
            <w:vAlign w:val="bottom"/>
          </w:tcPr>
          <w:p w14:paraId="7ADE3869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15.4%</w:t>
            </w:r>
          </w:p>
        </w:tc>
        <w:tc>
          <w:tcPr>
            <w:tcW w:w="0" w:type="auto"/>
            <w:vAlign w:val="bottom"/>
          </w:tcPr>
          <w:p w14:paraId="3A270177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25.2%</w:t>
            </w:r>
          </w:p>
        </w:tc>
      </w:tr>
      <w:tr w:rsidR="00F63B36" w:rsidRPr="00B530BB" w14:paraId="10234D45" w14:textId="77777777" w:rsidTr="00F63B36">
        <w:trPr>
          <w:trHeight w:val="20"/>
        </w:trPr>
        <w:tc>
          <w:tcPr>
            <w:tcW w:w="0" w:type="auto"/>
            <w:vMerge/>
          </w:tcPr>
          <w:p w14:paraId="36A2DF2D" w14:textId="77777777" w:rsidR="00F63B36" w:rsidRPr="00846B73" w:rsidRDefault="00F63B36" w:rsidP="00F63B3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14:paraId="2158A022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14:paraId="60040992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37,832</w:t>
            </w:r>
          </w:p>
        </w:tc>
        <w:tc>
          <w:tcPr>
            <w:tcW w:w="0" w:type="auto"/>
            <w:vAlign w:val="bottom"/>
          </w:tcPr>
          <w:p w14:paraId="15F02259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28,934</w:t>
            </w:r>
          </w:p>
        </w:tc>
        <w:tc>
          <w:tcPr>
            <w:tcW w:w="0" w:type="auto"/>
            <w:vAlign w:val="bottom"/>
          </w:tcPr>
          <w:p w14:paraId="386270EC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44,790</w:t>
            </w:r>
          </w:p>
        </w:tc>
        <w:tc>
          <w:tcPr>
            <w:tcW w:w="0" w:type="auto"/>
            <w:vAlign w:val="bottom"/>
          </w:tcPr>
          <w:p w14:paraId="3392D73D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15.5%</w:t>
            </w:r>
          </w:p>
        </w:tc>
        <w:tc>
          <w:tcPr>
            <w:tcW w:w="0" w:type="auto"/>
            <w:vAlign w:val="bottom"/>
          </w:tcPr>
          <w:p w14:paraId="23582045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11.8%</w:t>
            </w:r>
          </w:p>
        </w:tc>
        <w:tc>
          <w:tcPr>
            <w:tcW w:w="0" w:type="auto"/>
            <w:vAlign w:val="bottom"/>
          </w:tcPr>
          <w:p w14:paraId="06DABA22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18.3%</w:t>
            </w:r>
          </w:p>
        </w:tc>
      </w:tr>
      <w:tr w:rsidR="00F63B36" w:rsidRPr="00B530BB" w14:paraId="35758020" w14:textId="77777777" w:rsidTr="00F63B36">
        <w:trPr>
          <w:trHeight w:val="20"/>
        </w:trPr>
        <w:tc>
          <w:tcPr>
            <w:tcW w:w="0" w:type="auto"/>
            <w:vMerge/>
          </w:tcPr>
          <w:p w14:paraId="35581C45" w14:textId="77777777" w:rsidR="00F63B36" w:rsidRPr="00846B73" w:rsidRDefault="00F63B36" w:rsidP="00F63B3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14:paraId="1041527E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3 or more</w:t>
            </w:r>
          </w:p>
        </w:tc>
        <w:tc>
          <w:tcPr>
            <w:tcW w:w="0" w:type="auto"/>
            <w:vAlign w:val="bottom"/>
          </w:tcPr>
          <w:p w14:paraId="350673EE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95,9076</w:t>
            </w:r>
          </w:p>
        </w:tc>
        <w:tc>
          <w:tcPr>
            <w:tcW w:w="0" w:type="auto"/>
            <w:vAlign w:val="bottom"/>
          </w:tcPr>
          <w:p w14:paraId="539A483A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90,034</w:t>
            </w:r>
          </w:p>
        </w:tc>
        <w:tc>
          <w:tcPr>
            <w:tcW w:w="0" w:type="auto"/>
            <w:vAlign w:val="bottom"/>
          </w:tcPr>
          <w:p w14:paraId="60D1BFF2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99,314</w:t>
            </w:r>
          </w:p>
        </w:tc>
        <w:tc>
          <w:tcPr>
            <w:tcW w:w="0" w:type="auto"/>
            <w:vAlign w:val="bottom"/>
          </w:tcPr>
          <w:p w14:paraId="69BD8FD0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39.3%</w:t>
            </w:r>
          </w:p>
        </w:tc>
        <w:tc>
          <w:tcPr>
            <w:tcW w:w="0" w:type="auto"/>
            <w:vAlign w:val="bottom"/>
          </w:tcPr>
          <w:p w14:paraId="284303CB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36.9%</w:t>
            </w:r>
          </w:p>
        </w:tc>
        <w:tc>
          <w:tcPr>
            <w:tcW w:w="0" w:type="auto"/>
            <w:vAlign w:val="bottom"/>
          </w:tcPr>
          <w:p w14:paraId="2DF5456F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40.7%</w:t>
            </w:r>
          </w:p>
        </w:tc>
      </w:tr>
      <w:tr w:rsidR="00F63B36" w:rsidRPr="00B530BB" w14:paraId="541E0699" w14:textId="77777777" w:rsidTr="00F63B36">
        <w:trPr>
          <w:trHeight w:val="20"/>
        </w:trPr>
        <w:tc>
          <w:tcPr>
            <w:tcW w:w="0" w:type="auto"/>
            <w:vMerge/>
          </w:tcPr>
          <w:p w14:paraId="77C12C6E" w14:textId="77777777" w:rsidR="00F63B36" w:rsidRPr="00846B73" w:rsidRDefault="00F63B36" w:rsidP="00F63B3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14:paraId="48D26BE0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6B73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0" w:type="auto"/>
            <w:vAlign w:val="bottom"/>
          </w:tcPr>
          <w:p w14:paraId="4B814A37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6B73">
              <w:rPr>
                <w:rFonts w:ascii="Times New Roman" w:hAnsi="Times New Roman"/>
                <w:b/>
                <w:color w:val="000000"/>
              </w:rPr>
              <w:t>244,226</w:t>
            </w:r>
          </w:p>
        </w:tc>
        <w:tc>
          <w:tcPr>
            <w:tcW w:w="0" w:type="auto"/>
            <w:gridSpan w:val="2"/>
            <w:vAlign w:val="bottom"/>
          </w:tcPr>
          <w:p w14:paraId="3A08F1A7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042B6D10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6B73">
              <w:rPr>
                <w:rFonts w:ascii="Times New Roman" w:hAnsi="Times New Roman"/>
                <w:b/>
                <w:color w:val="000000"/>
              </w:rPr>
              <w:t>100%</w:t>
            </w:r>
          </w:p>
        </w:tc>
        <w:tc>
          <w:tcPr>
            <w:tcW w:w="0" w:type="auto"/>
            <w:gridSpan w:val="2"/>
          </w:tcPr>
          <w:p w14:paraId="1103A6AD" w14:textId="77777777" w:rsidR="00F63B36" w:rsidRPr="00846B73" w:rsidRDefault="00F63B36" w:rsidP="00F63B3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bookmarkEnd w:id="1"/>
    </w:tbl>
    <w:p w14:paraId="1266A02A" w14:textId="77777777" w:rsidR="00F63B36" w:rsidRDefault="00F63B36" w:rsidP="00F63B36">
      <w:pPr>
        <w:spacing w:after="240" w:line="36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0A4DBBA1" w14:textId="0384A2CF" w:rsidR="00F63B36" w:rsidRPr="00B530BB" w:rsidRDefault="00F63B36" w:rsidP="00F63B36">
      <w:pPr>
        <w:spacing w:after="240" w:line="36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>Table 3.  Change in the geographical area covered by abattoirs following the closure of 9% and 18% of population of private kill abattoirs trading in August 2020.</w:t>
      </w:r>
    </w:p>
    <w:tbl>
      <w:tblPr>
        <w:tblpPr w:leftFromText="180" w:rightFromText="180" w:vertAnchor="text" w:horzAnchor="margin" w:tblpXSpec="center" w:tblpY="133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559"/>
        <w:gridCol w:w="1276"/>
        <w:gridCol w:w="1185"/>
        <w:gridCol w:w="1340"/>
      </w:tblGrid>
      <w:tr w:rsidR="00F63B36" w:rsidRPr="00B530BB" w14:paraId="2078C655" w14:textId="77777777" w:rsidTr="00691D6B">
        <w:trPr>
          <w:trHeight w:val="330"/>
        </w:trPr>
        <w:tc>
          <w:tcPr>
            <w:tcW w:w="3539" w:type="dxa"/>
            <w:shd w:val="clear" w:color="auto" w:fill="auto"/>
            <w:noWrap/>
            <w:vAlign w:val="bottom"/>
          </w:tcPr>
          <w:p w14:paraId="6323B387" w14:textId="77777777" w:rsidR="00F63B36" w:rsidRPr="00846B73" w:rsidRDefault="00F63B36" w:rsidP="00691D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60" w:type="dxa"/>
            <w:gridSpan w:val="4"/>
            <w:shd w:val="clear" w:color="auto" w:fill="auto"/>
            <w:noWrap/>
            <w:vAlign w:val="bottom"/>
          </w:tcPr>
          <w:p w14:paraId="6BAB2A0B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46B73">
              <w:rPr>
                <w:rFonts w:ascii="Times New Roman" w:hAnsi="Times New Roman"/>
                <w:b/>
                <w:bCs/>
                <w:color w:val="000000"/>
              </w:rPr>
              <w:t>% of UK covered</w:t>
            </w:r>
          </w:p>
        </w:tc>
      </w:tr>
      <w:tr w:rsidR="00F63B36" w:rsidRPr="00B530BB" w14:paraId="4F836AD6" w14:textId="77777777" w:rsidTr="00691D6B">
        <w:trPr>
          <w:trHeight w:val="330"/>
        </w:trPr>
        <w:tc>
          <w:tcPr>
            <w:tcW w:w="3539" w:type="dxa"/>
            <w:shd w:val="clear" w:color="auto" w:fill="auto"/>
            <w:noWrap/>
            <w:vAlign w:val="bottom"/>
          </w:tcPr>
          <w:p w14:paraId="545D78BA" w14:textId="77777777" w:rsidR="00F63B36" w:rsidRPr="00846B73" w:rsidRDefault="00F63B36" w:rsidP="00691D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60" w:type="dxa"/>
            <w:gridSpan w:val="4"/>
            <w:shd w:val="clear" w:color="auto" w:fill="auto"/>
            <w:noWrap/>
            <w:vAlign w:val="bottom"/>
          </w:tcPr>
          <w:p w14:paraId="20ED6D36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Number of abattoirs within 45km</w:t>
            </w:r>
          </w:p>
        </w:tc>
      </w:tr>
      <w:tr w:rsidR="00F63B36" w:rsidRPr="00B530BB" w14:paraId="1A0B2CB2" w14:textId="77777777" w:rsidTr="00691D6B">
        <w:trPr>
          <w:trHeight w:val="33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FA672BF" w14:textId="77777777" w:rsidR="00F63B36" w:rsidRPr="00846B73" w:rsidRDefault="00F63B36" w:rsidP="00691D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8D15E1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46B73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8D2264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46B73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B6D4560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46B73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A0B2EB1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46B73">
              <w:rPr>
                <w:rFonts w:ascii="Times New Roman" w:hAnsi="Times New Roman"/>
                <w:b/>
                <w:bCs/>
                <w:color w:val="000000"/>
              </w:rPr>
              <w:t>3 or more</w:t>
            </w:r>
          </w:p>
        </w:tc>
      </w:tr>
      <w:tr w:rsidR="00F63B36" w:rsidRPr="00B530BB" w14:paraId="20FF6041" w14:textId="77777777" w:rsidTr="00691D6B">
        <w:trPr>
          <w:trHeight w:val="33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9BE6DD3" w14:textId="77777777" w:rsidR="00F63B36" w:rsidRPr="00846B73" w:rsidRDefault="00F63B36" w:rsidP="00691D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Baseline (147)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88043A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18.2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171756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20.9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AE71828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13.8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E968F2B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47.1</w:t>
            </w:r>
          </w:p>
        </w:tc>
      </w:tr>
      <w:tr w:rsidR="00F63B36" w:rsidRPr="00B530BB" w14:paraId="5DF8783F" w14:textId="77777777" w:rsidTr="00691D6B">
        <w:trPr>
          <w:trHeight w:val="33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01C6C5E" w14:textId="77777777" w:rsidR="00F63B36" w:rsidRPr="00846B73" w:rsidRDefault="00F63B36" w:rsidP="00691D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Removal of 9% of abattoirs (134)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7601F4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20.6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35C323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21.2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08BE13F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15.4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14CE4F5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42.8</w:t>
            </w:r>
          </w:p>
        </w:tc>
      </w:tr>
      <w:tr w:rsidR="00F63B36" w:rsidRPr="00B530BB" w14:paraId="353AC958" w14:textId="77777777" w:rsidTr="00691D6B">
        <w:trPr>
          <w:trHeight w:val="33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02A02A6" w14:textId="77777777" w:rsidR="00F63B36" w:rsidRPr="00846B73" w:rsidRDefault="00F63B36" w:rsidP="00691D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Removal of 18% of abattoirs (121)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B45427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24.2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0D1856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21.0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46B6F9D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15.5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8A5A1BD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B73">
              <w:rPr>
                <w:rFonts w:ascii="Times New Roman" w:hAnsi="Times New Roman"/>
                <w:color w:val="000000"/>
              </w:rPr>
              <w:t>39.3</w:t>
            </w:r>
          </w:p>
        </w:tc>
      </w:tr>
      <w:tr w:rsidR="00F63B36" w:rsidRPr="00B530BB" w14:paraId="62EFB146" w14:textId="77777777" w:rsidTr="00691D6B">
        <w:trPr>
          <w:trHeight w:val="330"/>
        </w:trPr>
        <w:tc>
          <w:tcPr>
            <w:tcW w:w="3539" w:type="dxa"/>
            <w:shd w:val="clear" w:color="auto" w:fill="auto"/>
            <w:noWrap/>
            <w:vAlign w:val="bottom"/>
          </w:tcPr>
          <w:p w14:paraId="2B4B0E36" w14:textId="77777777" w:rsidR="00F63B36" w:rsidRPr="00846B73" w:rsidRDefault="00F63B36" w:rsidP="00691D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60" w:type="dxa"/>
            <w:gridSpan w:val="4"/>
            <w:shd w:val="clear" w:color="auto" w:fill="auto"/>
            <w:noWrap/>
            <w:vAlign w:val="bottom"/>
          </w:tcPr>
          <w:p w14:paraId="796CEDE7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Absolute change in coverage compared to baseline areas</w:t>
            </w:r>
          </w:p>
        </w:tc>
      </w:tr>
      <w:tr w:rsidR="00F63B36" w:rsidRPr="00B530BB" w14:paraId="3933D122" w14:textId="77777777" w:rsidTr="00691D6B">
        <w:trPr>
          <w:trHeight w:val="34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070BC19" w14:textId="77777777" w:rsidR="00F63B36" w:rsidRPr="00846B73" w:rsidRDefault="00F63B36" w:rsidP="00691D6B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Closure of 13 abattoirs (134)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ECD39D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2.3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7F0147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0.3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260F96E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1.5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D4DB55F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-4.2</w:t>
            </w:r>
          </w:p>
        </w:tc>
      </w:tr>
      <w:tr w:rsidR="00F63B36" w:rsidRPr="00B530BB" w14:paraId="12E3E338" w14:textId="77777777" w:rsidTr="00691D6B">
        <w:trPr>
          <w:trHeight w:val="286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3EAD41B" w14:textId="77777777" w:rsidR="00F63B36" w:rsidRPr="00846B73" w:rsidRDefault="00F63B36" w:rsidP="00691D6B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Closure of 26 abattoirs (121)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D7BF9D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6.0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DEBF88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0.1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166818D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1.6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484BA18" w14:textId="77777777" w:rsidR="00F63B36" w:rsidRPr="00846B73" w:rsidRDefault="00F63B36" w:rsidP="00691D6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6B73">
              <w:rPr>
                <w:rFonts w:ascii="Times New Roman" w:hAnsi="Times New Roman"/>
                <w:bCs/>
                <w:color w:val="000000"/>
              </w:rPr>
              <w:t>-7.8</w:t>
            </w:r>
          </w:p>
        </w:tc>
      </w:tr>
    </w:tbl>
    <w:p w14:paraId="4B908D2C" w14:textId="77777777" w:rsidR="00F63B36" w:rsidRDefault="00F63B36" w:rsidP="00F63B36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14:paraId="7AC864D7" w14:textId="03B0EF15" w:rsidR="00162701" w:rsidRPr="00B530BB" w:rsidRDefault="00162701" w:rsidP="002A0139">
      <w:pPr>
        <w:spacing w:after="200" w:line="360" w:lineRule="auto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hAnsi="Times New Roman"/>
          <w:sz w:val="24"/>
          <w:szCs w:val="24"/>
        </w:rPr>
        <w:br w:type="page"/>
      </w:r>
    </w:p>
    <w:p w14:paraId="2729D6A5" w14:textId="29B7EF0C" w:rsidR="00577DA8" w:rsidRPr="00B530BB" w:rsidRDefault="00577DA8" w:rsidP="002A0139">
      <w:pPr>
        <w:pStyle w:val="BodyText"/>
        <w:kinsoku w:val="0"/>
        <w:overflowPunct w:val="0"/>
        <w:spacing w:after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65503075"/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Figure </w:t>
      </w:r>
      <w:r w:rsidR="001646AA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 </w:t>
      </w:r>
      <w:r w:rsidR="000A433A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ap </w:t>
      </w:r>
      <w:r w:rsidR="000A433A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showing 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the smallest area </w:t>
      </w:r>
      <w:r w:rsidR="00CC0B98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of the UK with</w:t>
      </w:r>
      <w:r w:rsidR="000A433A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out any 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private kill provision</w:t>
      </w:r>
      <w:r w:rsidR="00CC0B98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assuming 9% of the 147 abattoirs offering private kill services in the UK in August </w:t>
      </w:r>
      <w:r w:rsidRPr="00B530BB">
        <w:rPr>
          <w:rFonts w:ascii="Times New Roman" w:hAnsi="Times New Roman" w:cs="Times New Roman"/>
          <w:i/>
          <w:iCs/>
          <w:sz w:val="24"/>
          <w:szCs w:val="24"/>
        </w:rPr>
        <w:t xml:space="preserve">2020 close </w:t>
      </w:r>
      <w:r w:rsidR="00CC0B98" w:rsidRPr="00B530BB">
        <w:rPr>
          <w:rFonts w:ascii="Times New Roman" w:hAnsi="Times New Roman" w:cs="Times New Roman"/>
          <w:i/>
          <w:iCs/>
          <w:sz w:val="24"/>
          <w:szCs w:val="24"/>
        </w:rPr>
        <w:t xml:space="preserve">and livestock travel no more than </w:t>
      </w:r>
      <w:r w:rsidR="00DB0146" w:rsidRPr="00B530BB">
        <w:rPr>
          <w:rFonts w:ascii="Times New Roman" w:hAnsi="Times New Roman" w:cs="Times New Roman"/>
          <w:i/>
          <w:iCs/>
          <w:sz w:val="24"/>
          <w:szCs w:val="24"/>
        </w:rPr>
        <w:t>45km</w:t>
      </w:r>
      <w:r w:rsidRPr="00B530BB">
        <w:rPr>
          <w:rFonts w:ascii="Times New Roman" w:hAnsi="Times New Roman" w:cs="Times New Roman"/>
          <w:i/>
          <w:iCs/>
          <w:sz w:val="24"/>
          <w:szCs w:val="24"/>
        </w:rPr>
        <w:t>s.</w:t>
      </w:r>
      <w:r w:rsidR="00CC0B98" w:rsidRPr="00B530B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bookmarkEnd w:id="2"/>
    <w:p w14:paraId="68D30126" w14:textId="6FF4510D" w:rsidR="00162701" w:rsidRPr="00B530BB" w:rsidRDefault="00460D5B" w:rsidP="002A0139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AD64567" wp14:editId="03E19B40">
            <wp:extent cx="4996034" cy="7115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8262" cy="714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A449E" w14:textId="010DA50B" w:rsidR="00460D5B" w:rsidRPr="00B530BB" w:rsidRDefault="00460D5B" w:rsidP="002A0139">
      <w:pPr>
        <w:spacing w:after="200" w:line="360" w:lineRule="auto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hAnsi="Times New Roman"/>
          <w:sz w:val="24"/>
          <w:szCs w:val="24"/>
        </w:rPr>
        <w:br w:type="page"/>
      </w:r>
    </w:p>
    <w:p w14:paraId="5ADFF36E" w14:textId="7789E67C" w:rsidR="00460D5B" w:rsidRPr="00B530BB" w:rsidRDefault="00460D5B" w:rsidP="002A0139">
      <w:pPr>
        <w:pStyle w:val="BodyText"/>
        <w:kinsoku w:val="0"/>
        <w:overflowPunct w:val="0"/>
        <w:spacing w:after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Figure </w:t>
      </w:r>
      <w:r w:rsidR="001646AA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 </w:t>
      </w:r>
      <w:r w:rsidR="000A433A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 showing the largest area of the UK with</w:t>
      </w:r>
      <w:r w:rsidR="000A433A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out any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private kill provision (assuming 9% of the 147 abattoirs offering private kill services in the UK in August </w:t>
      </w:r>
      <w:r w:rsidRPr="00B530BB">
        <w:rPr>
          <w:rFonts w:ascii="Times New Roman" w:hAnsi="Times New Roman" w:cs="Times New Roman"/>
          <w:i/>
          <w:iCs/>
          <w:sz w:val="24"/>
          <w:szCs w:val="24"/>
        </w:rPr>
        <w:t xml:space="preserve">2020 close and livestock travel no more than </w:t>
      </w:r>
      <w:r w:rsidR="00DB0146" w:rsidRPr="00B530BB">
        <w:rPr>
          <w:rFonts w:ascii="Times New Roman" w:hAnsi="Times New Roman" w:cs="Times New Roman"/>
          <w:i/>
          <w:iCs/>
          <w:sz w:val="24"/>
          <w:szCs w:val="24"/>
        </w:rPr>
        <w:t>45km</w:t>
      </w:r>
      <w:r w:rsidRPr="00B530BB">
        <w:rPr>
          <w:rFonts w:ascii="Times New Roman" w:hAnsi="Times New Roman" w:cs="Times New Roman"/>
          <w:i/>
          <w:iCs/>
          <w:sz w:val="24"/>
          <w:szCs w:val="24"/>
        </w:rPr>
        <w:t>s.)</w:t>
      </w:r>
    </w:p>
    <w:p w14:paraId="038152B8" w14:textId="30852D3A" w:rsidR="00162701" w:rsidRPr="00B530BB" w:rsidRDefault="008D5661" w:rsidP="002A0139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24C4BE" wp14:editId="63D79411">
            <wp:extent cx="4906398" cy="701992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29129" cy="705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11D56" w14:textId="60584D9B" w:rsidR="008D5661" w:rsidRPr="00B530BB" w:rsidRDefault="008D5661" w:rsidP="002A0139">
      <w:pPr>
        <w:spacing w:after="200" w:line="360" w:lineRule="auto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hAnsi="Times New Roman"/>
          <w:sz w:val="24"/>
          <w:szCs w:val="24"/>
        </w:rPr>
        <w:br w:type="page"/>
      </w:r>
    </w:p>
    <w:p w14:paraId="3025D43D" w14:textId="67C456F6" w:rsidR="008D5661" w:rsidRPr="00B530BB" w:rsidRDefault="008D5661" w:rsidP="002A0139">
      <w:pPr>
        <w:pStyle w:val="BodyText"/>
        <w:kinsoku w:val="0"/>
        <w:overflowPunct w:val="0"/>
        <w:spacing w:after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Figure </w:t>
      </w:r>
      <w:r w:rsidR="001646AA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7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 </w:t>
      </w:r>
      <w:r w:rsidR="000A433A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Map 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showing the smallest area of the UK with</w:t>
      </w:r>
      <w:r w:rsidR="000A433A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out any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private kill provision (assuming 18% of the 147 abattoirs offering private kill services in the UK in August </w:t>
      </w:r>
      <w:r w:rsidRPr="00B530BB">
        <w:rPr>
          <w:rFonts w:ascii="Times New Roman" w:hAnsi="Times New Roman" w:cs="Times New Roman"/>
          <w:i/>
          <w:iCs/>
          <w:sz w:val="24"/>
          <w:szCs w:val="24"/>
        </w:rPr>
        <w:t xml:space="preserve">2020 close and livestock travel no more than </w:t>
      </w:r>
      <w:r w:rsidR="00DB0146" w:rsidRPr="00B530BB">
        <w:rPr>
          <w:rFonts w:ascii="Times New Roman" w:hAnsi="Times New Roman" w:cs="Times New Roman"/>
          <w:i/>
          <w:iCs/>
          <w:sz w:val="24"/>
          <w:szCs w:val="24"/>
        </w:rPr>
        <w:t>45km</w:t>
      </w:r>
      <w:r w:rsidRPr="00B530BB">
        <w:rPr>
          <w:rFonts w:ascii="Times New Roman" w:hAnsi="Times New Roman" w:cs="Times New Roman"/>
          <w:i/>
          <w:iCs/>
          <w:sz w:val="24"/>
          <w:szCs w:val="24"/>
        </w:rPr>
        <w:t>s.)</w:t>
      </w:r>
    </w:p>
    <w:p w14:paraId="36A60FB2" w14:textId="2E13DDA6" w:rsidR="00162701" w:rsidRPr="00B530BB" w:rsidRDefault="008576F7" w:rsidP="002A0139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2AE878" wp14:editId="4999B1C9">
            <wp:extent cx="5055235" cy="722359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3583" cy="724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E0AD9" w14:textId="2EAE57E1" w:rsidR="008D5661" w:rsidRPr="00B530BB" w:rsidRDefault="008D5661" w:rsidP="002A0139">
      <w:pPr>
        <w:spacing w:after="200" w:line="360" w:lineRule="auto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hAnsi="Times New Roman"/>
          <w:sz w:val="24"/>
          <w:szCs w:val="24"/>
        </w:rPr>
        <w:br w:type="page"/>
      </w:r>
    </w:p>
    <w:p w14:paraId="129B93A2" w14:textId="760D5A20" w:rsidR="008D5661" w:rsidRPr="00B530BB" w:rsidRDefault="008D5661" w:rsidP="002A0139">
      <w:pPr>
        <w:pStyle w:val="BodyText"/>
        <w:kinsoku w:val="0"/>
        <w:overflowPunct w:val="0"/>
        <w:spacing w:after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Figure</w:t>
      </w:r>
      <w:r w:rsidR="005031D2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1646AA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8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 </w:t>
      </w:r>
      <w:r w:rsidR="000A433A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ap showing the largest area of the UK </w:t>
      </w:r>
      <w:r w:rsidR="000A433A"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without any</w:t>
      </w:r>
      <w:r w:rsidRPr="00B530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private kill provision (assuming 18% of the 147 abattoirs offering private kill services in the UK in August </w:t>
      </w:r>
      <w:r w:rsidRPr="00B530BB">
        <w:rPr>
          <w:rFonts w:ascii="Times New Roman" w:hAnsi="Times New Roman" w:cs="Times New Roman"/>
          <w:i/>
          <w:iCs/>
          <w:sz w:val="24"/>
          <w:szCs w:val="24"/>
        </w:rPr>
        <w:t xml:space="preserve">2020 close and livestock travel no more than </w:t>
      </w:r>
      <w:r w:rsidR="00DB0146" w:rsidRPr="00B530BB">
        <w:rPr>
          <w:rFonts w:ascii="Times New Roman" w:hAnsi="Times New Roman" w:cs="Times New Roman"/>
          <w:i/>
          <w:iCs/>
          <w:sz w:val="24"/>
          <w:szCs w:val="24"/>
        </w:rPr>
        <w:t>45km</w:t>
      </w:r>
      <w:r w:rsidRPr="00B530BB">
        <w:rPr>
          <w:rFonts w:ascii="Times New Roman" w:hAnsi="Times New Roman" w:cs="Times New Roman"/>
          <w:i/>
          <w:iCs/>
          <w:sz w:val="24"/>
          <w:szCs w:val="24"/>
        </w:rPr>
        <w:t>s.)</w:t>
      </w:r>
    </w:p>
    <w:p w14:paraId="7E770503" w14:textId="203CAC35" w:rsidR="00162701" w:rsidRPr="00B530BB" w:rsidRDefault="005031D2" w:rsidP="002A0139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2A72EE4" wp14:editId="6D3B5F22">
            <wp:extent cx="5219290" cy="746760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8970" cy="74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4FD0B" w14:textId="2F94112C" w:rsidR="008D5661" w:rsidRPr="00B530BB" w:rsidRDefault="008D5661" w:rsidP="002A0139">
      <w:pPr>
        <w:spacing w:after="200" w:line="360" w:lineRule="auto"/>
        <w:rPr>
          <w:rFonts w:ascii="Times New Roman" w:hAnsi="Times New Roman"/>
          <w:sz w:val="24"/>
          <w:szCs w:val="24"/>
        </w:rPr>
      </w:pPr>
      <w:r w:rsidRPr="00B530BB">
        <w:rPr>
          <w:rFonts w:ascii="Times New Roman" w:hAnsi="Times New Roman"/>
          <w:sz w:val="24"/>
          <w:szCs w:val="24"/>
        </w:rPr>
        <w:br w:type="page"/>
      </w:r>
    </w:p>
    <w:p w14:paraId="4746F4FC" w14:textId="2BC5FEE3" w:rsidR="002E52CB" w:rsidRPr="00B530BB" w:rsidRDefault="007A6976" w:rsidP="002A0139">
      <w:pPr>
        <w:spacing w:after="20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530BB"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="002E52CB" w:rsidRPr="00B530BB">
        <w:rPr>
          <w:rFonts w:ascii="Times New Roman" w:hAnsi="Times New Roman"/>
          <w:b/>
          <w:bCs/>
          <w:sz w:val="24"/>
          <w:szCs w:val="24"/>
        </w:rPr>
        <w:tab/>
        <w:t>Discussion</w:t>
      </w:r>
    </w:p>
    <w:p w14:paraId="0DAE7CF7" w14:textId="3D9B114A" w:rsidR="001B236F" w:rsidRPr="00B530BB" w:rsidRDefault="005A52AF" w:rsidP="002A0139">
      <w:pPr>
        <w:spacing w:before="240"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B530BB">
        <w:rPr>
          <w:rFonts w:ascii="Times New Roman" w:eastAsia="Calibri" w:hAnsi="Times New Roman"/>
          <w:sz w:val="24"/>
          <w:szCs w:val="24"/>
          <w:lang w:val="en-US"/>
        </w:rPr>
        <w:t>The varia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tion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in geographical coverage confirms the importance 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>of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1A18BF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identifying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which abattoirs </w:t>
      </w:r>
      <w:r w:rsidR="00AD744A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are going to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>close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F73362" w:rsidRPr="00B530BB">
        <w:rPr>
          <w:rFonts w:ascii="Times New Roman" w:eastAsia="Calibri" w:hAnsi="Times New Roman"/>
          <w:sz w:val="24"/>
          <w:szCs w:val="24"/>
          <w:lang w:val="en-US"/>
        </w:rPr>
        <w:t>for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AD744A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assessing the </w:t>
      </w:r>
      <w:r w:rsidR="001A18BF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robustness of the resulting 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>network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.  </w:t>
      </w:r>
      <w:r w:rsidR="00F65024">
        <w:rPr>
          <w:rFonts w:ascii="Times New Roman" w:eastAsia="Calibri" w:hAnsi="Times New Roman"/>
          <w:sz w:val="24"/>
          <w:szCs w:val="24"/>
          <w:lang w:val="en-US"/>
        </w:rPr>
        <w:t>This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B66B93">
        <w:rPr>
          <w:rFonts w:ascii="Times New Roman" w:eastAsia="Calibri" w:hAnsi="Times New Roman"/>
          <w:sz w:val="24"/>
          <w:szCs w:val="24"/>
          <w:lang w:val="en-US"/>
        </w:rPr>
        <w:t>will</w:t>
      </w:r>
      <w:r w:rsidR="00F65024">
        <w:rPr>
          <w:rFonts w:ascii="Times New Roman" w:eastAsia="Calibri" w:hAnsi="Times New Roman"/>
          <w:sz w:val="24"/>
          <w:szCs w:val="24"/>
          <w:lang w:val="en-US"/>
        </w:rPr>
        <w:t xml:space="preserve"> also</w:t>
      </w:r>
      <w:r w:rsidR="00B66B9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determine </w:t>
      </w:r>
      <w:r w:rsidR="001B236F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distance and complexity of livestock journeys, the 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thereby </w:t>
      </w:r>
      <w:r w:rsidR="001A18BF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influences 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>viability of farmer’</w:t>
      </w:r>
      <w:r w:rsidR="00F65024">
        <w:rPr>
          <w:rFonts w:ascii="Times New Roman" w:eastAsia="Calibri" w:hAnsi="Times New Roman"/>
          <w:sz w:val="24"/>
          <w:szCs w:val="24"/>
          <w:lang w:val="en-US"/>
        </w:rPr>
        <w:t>s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040C38">
        <w:rPr>
          <w:rFonts w:ascii="Times New Roman" w:eastAsia="Calibri" w:hAnsi="Times New Roman"/>
          <w:sz w:val="24"/>
          <w:szCs w:val="24"/>
          <w:lang w:val="en-US"/>
        </w:rPr>
        <w:t>PK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retail enterprises</w:t>
      </w:r>
      <w:r w:rsidR="00F65024">
        <w:rPr>
          <w:rFonts w:ascii="Times New Roman" w:eastAsia="Calibri" w:hAnsi="Times New Roman"/>
          <w:sz w:val="24"/>
          <w:szCs w:val="24"/>
          <w:lang w:val="en-US"/>
        </w:rPr>
        <w:t>,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1A18BF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which has 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>consequen</w:t>
      </w:r>
      <w:r w:rsidR="001A18BF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ces for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 value of 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produce sold through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 </w:t>
      </w:r>
      <w:r w:rsidR="001B236F" w:rsidRPr="00B530BB">
        <w:rPr>
          <w:rFonts w:ascii="Times New Roman" w:eastAsia="Calibri" w:hAnsi="Times New Roman"/>
          <w:sz w:val="24"/>
          <w:szCs w:val="24"/>
          <w:lang w:val="en-US"/>
        </w:rPr>
        <w:t>local</w:t>
      </w:r>
      <w:r w:rsidR="00F65024">
        <w:rPr>
          <w:rFonts w:ascii="Times New Roman" w:eastAsia="Calibri" w:hAnsi="Times New Roman"/>
          <w:sz w:val="24"/>
          <w:szCs w:val="24"/>
          <w:lang w:val="en-US"/>
        </w:rPr>
        <w:t>ly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FB2CAB" w:rsidRPr="00B530BB">
        <w:rPr>
          <w:rFonts w:ascii="Times New Roman" w:eastAsia="Calibri" w:hAnsi="Times New Roman"/>
          <w:sz w:val="24"/>
          <w:szCs w:val="24"/>
          <w:lang w:val="en-US"/>
        </w:rPr>
        <w:t>finished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and slaughtered</w:t>
      </w:r>
      <w:r w:rsidR="001B236F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red-meat supply chain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FA2E4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 This section 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reviews </w:t>
      </w:r>
      <w:r w:rsidR="00FA2E4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 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abattoir </w:t>
      </w:r>
      <w:r w:rsidR="00F65024">
        <w:rPr>
          <w:rFonts w:ascii="Times New Roman" w:eastAsia="Calibri" w:hAnsi="Times New Roman"/>
          <w:sz w:val="24"/>
          <w:szCs w:val="24"/>
          <w:lang w:val="en-US"/>
        </w:rPr>
        <w:t xml:space="preserve">and farmer 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specific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information </w:t>
      </w:r>
      <w:r w:rsidR="00F65024">
        <w:rPr>
          <w:rFonts w:ascii="Times New Roman" w:eastAsia="Calibri" w:hAnsi="Times New Roman"/>
          <w:sz w:val="24"/>
          <w:szCs w:val="24"/>
          <w:lang w:val="en-US"/>
        </w:rPr>
        <w:t xml:space="preserve">that would be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needed to </w:t>
      </w:r>
      <w:r w:rsidR="00F65024">
        <w:rPr>
          <w:rFonts w:ascii="Times New Roman" w:eastAsia="Calibri" w:hAnsi="Times New Roman"/>
          <w:sz w:val="24"/>
          <w:szCs w:val="24"/>
          <w:lang w:val="en-US"/>
        </w:rPr>
        <w:t xml:space="preserve">be able to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identify </w:t>
      </w:r>
      <w:r w:rsidR="0019175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which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>abattoirs are under the most financial stress and therefore most likely to close</w:t>
      </w:r>
      <w:r w:rsidR="00FA2E4C" w:rsidRPr="00B530BB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73EA569E" w14:textId="77777777" w:rsidR="001B236F" w:rsidRPr="00B530BB" w:rsidRDefault="001B236F" w:rsidP="002A0139">
      <w:pPr>
        <w:spacing w:before="240"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09EC8DC7" w14:textId="288B11C9" w:rsidR="002E18EA" w:rsidRPr="00B530BB" w:rsidRDefault="007A6976" w:rsidP="002A0139">
      <w:pPr>
        <w:spacing w:before="240" w:line="360" w:lineRule="auto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r w:rsidRPr="00B530BB">
        <w:rPr>
          <w:rFonts w:ascii="Times New Roman" w:eastAsia="Calibri" w:hAnsi="Times New Roman"/>
          <w:i/>
          <w:iCs/>
          <w:sz w:val="24"/>
          <w:szCs w:val="24"/>
          <w:lang w:val="en-US"/>
        </w:rPr>
        <w:t>5</w:t>
      </w:r>
      <w:r w:rsidR="00051C03" w:rsidRPr="00B530BB">
        <w:rPr>
          <w:rFonts w:ascii="Times New Roman" w:eastAsia="Calibri" w:hAnsi="Times New Roman"/>
          <w:i/>
          <w:iCs/>
          <w:sz w:val="24"/>
          <w:szCs w:val="24"/>
          <w:lang w:val="en-US"/>
        </w:rPr>
        <w:t>.1</w:t>
      </w:r>
      <w:r w:rsidR="00051C03" w:rsidRPr="00B530BB">
        <w:rPr>
          <w:rFonts w:ascii="Times New Roman" w:eastAsia="Calibri" w:hAnsi="Times New Roman"/>
          <w:i/>
          <w:iCs/>
          <w:sz w:val="24"/>
          <w:szCs w:val="24"/>
          <w:lang w:val="en-US"/>
        </w:rPr>
        <w:tab/>
        <w:t>Abattoir</w:t>
      </w:r>
      <w:r w:rsidR="006E27F8" w:rsidRPr="00B530BB">
        <w:rPr>
          <w:rFonts w:ascii="Times New Roman" w:eastAsia="Calibri" w:hAnsi="Times New Roman"/>
          <w:i/>
          <w:iCs/>
          <w:sz w:val="24"/>
          <w:szCs w:val="24"/>
          <w:lang w:val="en-US"/>
        </w:rPr>
        <w:t>-</w:t>
      </w:r>
      <w:r w:rsidR="00051C03" w:rsidRPr="00B530BB">
        <w:rPr>
          <w:rFonts w:ascii="Times New Roman" w:eastAsia="Calibri" w:hAnsi="Times New Roman"/>
          <w:i/>
          <w:iCs/>
          <w:sz w:val="24"/>
          <w:szCs w:val="24"/>
          <w:lang w:val="en-US"/>
        </w:rPr>
        <w:t xml:space="preserve">specific </w:t>
      </w:r>
      <w:r w:rsidR="006E27F8" w:rsidRPr="00B530BB">
        <w:rPr>
          <w:rFonts w:ascii="Times New Roman" w:eastAsia="Calibri" w:hAnsi="Times New Roman"/>
          <w:i/>
          <w:iCs/>
          <w:sz w:val="24"/>
          <w:szCs w:val="24"/>
          <w:lang w:val="en-US"/>
        </w:rPr>
        <w:t>information requirements</w:t>
      </w:r>
    </w:p>
    <w:p w14:paraId="361E7691" w14:textId="2FDCFC8A" w:rsidR="0031746A" w:rsidRDefault="002A60C9" w:rsidP="002A0139">
      <w:pPr>
        <w:spacing w:before="240"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B530BB">
        <w:rPr>
          <w:rFonts w:ascii="Times New Roman" w:eastAsia="Calibri" w:hAnsi="Times New Roman"/>
          <w:sz w:val="24"/>
          <w:szCs w:val="24"/>
          <w:lang w:val="en-US"/>
        </w:rPr>
        <w:t>Replacing</w:t>
      </w:r>
      <w:r w:rsidR="00BE15BE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295A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 </w:t>
      </w:r>
      <w:r w:rsidR="00BE15BE" w:rsidRPr="00B530BB">
        <w:rPr>
          <w:rFonts w:ascii="Times New Roman" w:eastAsia="Calibri" w:hAnsi="Times New Roman"/>
          <w:sz w:val="24"/>
          <w:szCs w:val="24"/>
          <w:lang w:val="en-US"/>
        </w:rPr>
        <w:t>random removal of abattoirs</w:t>
      </w:r>
      <w:r w:rsidR="00295A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9370C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by </w:t>
      </w:r>
      <w:r w:rsidR="00295A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abattoirs most likely to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>cease trading</w:t>
      </w:r>
      <w:r w:rsidR="00295A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require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295A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9370C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detailed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information </w:t>
      </w:r>
      <w:r w:rsidR="009370C0" w:rsidRPr="00B530BB">
        <w:rPr>
          <w:rFonts w:ascii="Times New Roman" w:eastAsia="Calibri" w:hAnsi="Times New Roman"/>
          <w:sz w:val="24"/>
          <w:szCs w:val="24"/>
          <w:lang w:val="en-US"/>
        </w:rPr>
        <w:t>about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the short- and long-term viability of abattoirs</w:t>
      </w:r>
      <w:r w:rsidR="009370C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. 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>A</w:t>
      </w:r>
      <w:r w:rsidR="009370C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BE15BE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census </w:t>
      </w:r>
      <w:r w:rsidRPr="00B530BB">
        <w:rPr>
          <w:rFonts w:ascii="Times New Roman" w:eastAsia="Calibri" w:hAnsi="Times New Roman"/>
          <w:sz w:val="24"/>
          <w:szCs w:val="24"/>
          <w:lang w:val="en-US"/>
        </w:rPr>
        <w:t>of trading abattoirs</w:t>
      </w:r>
      <w:r w:rsidR="009370C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would need to </w:t>
      </w:r>
      <w:r w:rsidR="00B66B93">
        <w:rPr>
          <w:rFonts w:ascii="Times New Roman" w:eastAsia="Calibri" w:hAnsi="Times New Roman"/>
          <w:sz w:val="24"/>
          <w:szCs w:val="24"/>
          <w:lang w:val="en-US"/>
        </w:rPr>
        <w:t xml:space="preserve">include </w:t>
      </w:r>
      <w:r w:rsidR="009370C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abattoirs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which </w:t>
      </w:r>
      <w:r w:rsidR="009370C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currently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do </w:t>
      </w:r>
      <w:r w:rsidR="009370C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not offer </w:t>
      </w:r>
      <w:r w:rsidR="00040C38">
        <w:rPr>
          <w:rFonts w:ascii="Times New Roman" w:eastAsia="Calibri" w:hAnsi="Times New Roman"/>
          <w:sz w:val="24"/>
          <w:szCs w:val="24"/>
          <w:lang w:val="en-US"/>
        </w:rPr>
        <w:t>PK</w:t>
      </w:r>
      <w:r w:rsidR="009370C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services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because these businesses may </w:t>
      </w:r>
      <w:r w:rsidR="009370C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start </w:t>
      </w:r>
      <w:r w:rsidR="00B66B93">
        <w:rPr>
          <w:rFonts w:ascii="Times New Roman" w:eastAsia="Calibri" w:hAnsi="Times New Roman"/>
          <w:sz w:val="24"/>
          <w:szCs w:val="24"/>
          <w:lang w:val="en-US"/>
        </w:rPr>
        <w:t>to do so</w:t>
      </w:r>
      <w:r w:rsidR="00DD5BE0" w:rsidRPr="00B530BB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F73362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 This would require detailed </w:t>
      </w:r>
      <w:r w:rsidR="0031746A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financial information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including, for </w:t>
      </w:r>
      <w:r w:rsidR="0031746A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example, trends in and annual cash flows, profitability, throughput, level and types of debt, and net worth. 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>However, experience shows it is</w:t>
      </w:r>
      <w:r w:rsidR="00B66B9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F73362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unlikely </w:t>
      </w:r>
      <w:r w:rsidR="00B66B93">
        <w:rPr>
          <w:rFonts w:ascii="Times New Roman" w:eastAsia="Calibri" w:hAnsi="Times New Roman"/>
          <w:sz w:val="24"/>
          <w:szCs w:val="24"/>
          <w:lang w:val="en-US"/>
        </w:rPr>
        <w:t>all</w:t>
      </w:r>
      <w:r w:rsidR="00BE15BE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9370C0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abattoir </w:t>
      </w:r>
      <w:r w:rsidR="00BE15BE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would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>provide such information</w:t>
      </w:r>
      <w:r w:rsidR="00BE15BE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BE15BE" w:rsidRPr="00B530BB">
        <w:rPr>
          <w:rFonts w:ascii="Times New Roman" w:eastAsia="Calibri" w:hAnsi="Times New Roman"/>
          <w:sz w:val="24"/>
          <w:szCs w:val="24"/>
          <w:lang w:val="en-US"/>
        </w:rPr>
        <w:fldChar w:fldCharType="begin"/>
      </w:r>
      <w:r w:rsidR="008B2881">
        <w:rPr>
          <w:rFonts w:ascii="Times New Roman" w:eastAsia="Calibri" w:hAnsi="Times New Roman"/>
          <w:sz w:val="24"/>
          <w:szCs w:val="24"/>
          <w:lang w:val="en-US"/>
        </w:rPr>
        <w:instrText xml:space="preserve"> ADDIN EN.CITE &lt;EndNote&gt;&lt;Cite&gt;&lt;Author&gt;Franks&lt;/Author&gt;&lt;Year&gt;2021&lt;/Year&gt;&lt;RecNum&gt;272&lt;/RecNum&gt;&lt;DisplayText&gt;(Franks and Peden, 2021)&lt;/DisplayText&gt;&lt;record&gt;&lt;rec-number&gt;272&lt;/rec-number&gt;&lt;foreign-keys&gt;&lt;key app="EN" db-id="e5d9x9tfh0a52xexwvlp2w0vef5xzfsp9dz0" timestamp="1630080862"&gt;272&lt;/key&gt;&lt;/foreign-keys&gt;&lt;ref-type name="Report"&gt;27&lt;/ref-type&gt;&lt;contributors&gt;&lt;authors&gt;&lt;author&gt;Franks, J. R.,&lt;/author&gt;&lt;author&gt;Peden, R.&lt;/author&gt;&lt;/authors&gt;&lt;tertiary-authors&gt;&lt;author&gt;The Princes Trust&lt;/author&gt;&lt;/tertiary-authors&gt;&lt;/contributors&gt;&lt;titles&gt;&lt;title&gt; An economic analysis of the role and viability of small abattoirs in the red meat supply chain&lt;/title&gt;&lt;/titles&gt;&lt;dates&gt;&lt;year&gt;2021&lt;/year&gt;&lt;/dates&gt;&lt;pub-location&gt;https://www.princescountrysidefund.org.uk/our-impact/our-research/all-on-the-table/ [Accessed May 2022]&lt;/pub-location&gt;&lt;urls&gt;&lt;related-urls&gt;&lt;url&gt;https://www.princescountrysidefund.org.uk/our-impact/our-research/all-on-the-table/ (accessed August 2021)&lt;/url&gt;&lt;/related-urls&gt;&lt;/urls&gt;&lt;/record&gt;&lt;/Cite&gt;&lt;/EndNote&gt;</w:instrText>
      </w:r>
      <w:r w:rsidR="00BE15BE" w:rsidRPr="00B530BB">
        <w:rPr>
          <w:rFonts w:ascii="Times New Roman" w:eastAsia="Calibri" w:hAnsi="Times New Roman"/>
          <w:sz w:val="24"/>
          <w:szCs w:val="24"/>
          <w:lang w:val="en-US"/>
        </w:rPr>
        <w:fldChar w:fldCharType="separate"/>
      </w:r>
      <w:r w:rsidR="00BE15BE" w:rsidRPr="00B530BB">
        <w:rPr>
          <w:rFonts w:ascii="Times New Roman" w:eastAsia="Calibri" w:hAnsi="Times New Roman"/>
          <w:noProof/>
          <w:sz w:val="24"/>
          <w:szCs w:val="24"/>
          <w:lang w:val="en-US"/>
        </w:rPr>
        <w:t>(Franks and Peden, 2021)</w:t>
      </w:r>
      <w:r w:rsidR="00BE15BE" w:rsidRPr="00B530BB">
        <w:rPr>
          <w:rFonts w:ascii="Times New Roman" w:eastAsia="Calibri" w:hAnsi="Times New Roman"/>
          <w:sz w:val="24"/>
          <w:szCs w:val="24"/>
          <w:lang w:val="en-US"/>
        </w:rPr>
        <w:fldChar w:fldCharType="end"/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>.  Small abattoirs exist in</w:t>
      </w:r>
      <w:r w:rsidR="00B66B93">
        <w:rPr>
          <w:rFonts w:ascii="Times New Roman" w:eastAsia="Calibri" w:hAnsi="Times New Roman"/>
          <w:sz w:val="24"/>
          <w:szCs w:val="24"/>
          <w:lang w:val="en-US"/>
        </w:rPr>
        <w:t xml:space="preserve"> a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highly 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>competitive market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 making such financial information 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>highly confidential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.  Moreover, </w:t>
      </w:r>
      <w:r w:rsidR="001569E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many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abattoirs </w:t>
      </w:r>
      <w:r w:rsidR="001569E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currently </w:t>
      </w:r>
      <w:r w:rsidR="002E7A9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not </w:t>
      </w:r>
      <w:r w:rsidR="001569E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providing </w:t>
      </w:r>
      <w:r w:rsidR="00040C38">
        <w:rPr>
          <w:rFonts w:ascii="Times New Roman" w:eastAsia="Calibri" w:hAnsi="Times New Roman"/>
          <w:sz w:val="24"/>
          <w:szCs w:val="24"/>
          <w:lang w:val="en-US"/>
        </w:rPr>
        <w:t>PK</w:t>
      </w:r>
      <w:r w:rsidR="001569E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services are unlikely to </w:t>
      </w:r>
      <w:r w:rsidR="00B66B93">
        <w:rPr>
          <w:rFonts w:ascii="Times New Roman" w:eastAsia="Calibri" w:hAnsi="Times New Roman"/>
          <w:sz w:val="24"/>
          <w:szCs w:val="24"/>
          <w:lang w:val="en-US"/>
        </w:rPr>
        <w:t xml:space="preserve">want to </w:t>
      </w:r>
      <w:r w:rsidR="001569EC" w:rsidRPr="00B530BB">
        <w:rPr>
          <w:rFonts w:ascii="Times New Roman" w:eastAsia="Calibri" w:hAnsi="Times New Roman"/>
          <w:sz w:val="24"/>
          <w:szCs w:val="24"/>
          <w:lang w:val="en-US"/>
        </w:rPr>
        <w:t>reveal th</w:t>
      </w:r>
      <w:r w:rsidR="002E7A93" w:rsidRPr="00B530BB">
        <w:rPr>
          <w:rFonts w:ascii="Times New Roman" w:eastAsia="Calibri" w:hAnsi="Times New Roman"/>
          <w:sz w:val="24"/>
          <w:szCs w:val="24"/>
          <w:lang w:val="en-US"/>
        </w:rPr>
        <w:t>e</w:t>
      </w:r>
      <w:r w:rsidR="001569E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circumstances </w:t>
      </w:r>
      <w:r w:rsidR="002E7A93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under which </w:t>
      </w:r>
      <w:r w:rsidR="001569E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they would </w:t>
      </w:r>
      <w:r w:rsidR="00B66B93">
        <w:rPr>
          <w:rFonts w:ascii="Times New Roman" w:eastAsia="Calibri" w:hAnsi="Times New Roman"/>
          <w:sz w:val="24"/>
          <w:szCs w:val="24"/>
          <w:lang w:val="en-US"/>
        </w:rPr>
        <w:t xml:space="preserve">start to </w:t>
      </w:r>
      <w:r w:rsidR="001569E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offer </w:t>
      </w:r>
      <w:r w:rsidR="00B66B93">
        <w:rPr>
          <w:rFonts w:ascii="Times New Roman" w:eastAsia="Calibri" w:hAnsi="Times New Roman"/>
          <w:sz w:val="24"/>
          <w:szCs w:val="24"/>
          <w:lang w:val="en-US"/>
        </w:rPr>
        <w:t>such</w:t>
      </w:r>
      <w:r w:rsidR="001569E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services.</w:t>
      </w:r>
    </w:p>
    <w:p w14:paraId="1643FB41" w14:textId="55834363" w:rsidR="006E27F8" w:rsidRPr="00B530BB" w:rsidRDefault="00B66B93" w:rsidP="002A0139">
      <w:pPr>
        <w:spacing w:before="240"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Nevertheless, i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f sufficient owners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did 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provide </w:t>
      </w:r>
      <w:r>
        <w:rPr>
          <w:rFonts w:ascii="Times New Roman" w:eastAsia="Calibri" w:hAnsi="Times New Roman"/>
          <w:sz w:val="24"/>
          <w:szCs w:val="24"/>
          <w:lang w:val="en-US"/>
        </w:rPr>
        <w:t>these data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they 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>could be used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>,</w:t>
      </w:r>
      <w:r w:rsidR="003131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>alongside readily available information on</w:t>
      </w:r>
      <w:r w:rsidR="0071476B" w:rsidRPr="00B530BB">
        <w:rPr>
          <w:rFonts w:ascii="Times New Roman" w:eastAsia="Calibri" w:hAnsi="Times New Roman"/>
          <w:sz w:val="24"/>
          <w:szCs w:val="24"/>
          <w:lang w:val="en-US"/>
        </w:rPr>
        <w:t>,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31317D" w:rsidRPr="00B530BB">
        <w:rPr>
          <w:rFonts w:ascii="Times New Roman" w:eastAsia="Calibri" w:hAnsi="Times New Roman"/>
          <w:sz w:val="24"/>
          <w:szCs w:val="24"/>
          <w:lang w:val="en-US"/>
        </w:rPr>
        <w:t>for example</w:t>
      </w:r>
      <w:r w:rsidR="0071476B" w:rsidRPr="00B530BB">
        <w:rPr>
          <w:rFonts w:ascii="Times New Roman" w:eastAsia="Calibri" w:hAnsi="Times New Roman"/>
          <w:sz w:val="24"/>
          <w:szCs w:val="24"/>
          <w:lang w:val="en-US"/>
        </w:rPr>
        <w:t>,</w:t>
      </w:r>
      <w:r w:rsidR="003131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annual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abattoir 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throughput, closeness to </w:t>
      </w:r>
      <w:r w:rsidR="00295A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other </w:t>
      </w:r>
      <w:r w:rsidR="00040C38">
        <w:rPr>
          <w:rFonts w:ascii="Times New Roman" w:eastAsia="Calibri" w:hAnsi="Times New Roman"/>
          <w:sz w:val="24"/>
          <w:szCs w:val="24"/>
          <w:lang w:val="en-US"/>
        </w:rPr>
        <w:t>PK</w:t>
      </w:r>
      <w:r w:rsidR="00295A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abattoirs, 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 xml:space="preserve">the uniqueness of the </w:t>
      </w:r>
      <w:r w:rsidR="00826142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butchery services offered, </w:t>
      </w:r>
      <w:r w:rsidR="00295A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and location in relation to areas of 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>livestock production</w:t>
      </w:r>
      <w:r w:rsidR="0031746A">
        <w:rPr>
          <w:rFonts w:ascii="Times New Roman" w:eastAsia="Calibri" w:hAnsi="Times New Roman"/>
          <w:sz w:val="24"/>
          <w:szCs w:val="24"/>
          <w:lang w:val="en-US"/>
        </w:rPr>
        <w:t>,</w:t>
      </w:r>
      <w:r w:rsidR="003131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to </w:t>
      </w:r>
      <w:r w:rsidR="00CF74E5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approximate 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and thereby classify </w:t>
      </w:r>
      <w:r w:rsidR="006E27F8" w:rsidRPr="00B530BB">
        <w:rPr>
          <w:rFonts w:ascii="Times New Roman" w:eastAsia="Calibri" w:hAnsi="Times New Roman"/>
          <w:sz w:val="24"/>
          <w:szCs w:val="24"/>
          <w:lang w:val="en-US"/>
        </w:rPr>
        <w:t>the financial status of non-respondents.</w:t>
      </w:r>
    </w:p>
    <w:p w14:paraId="2E4A2290" w14:textId="6D1CC813" w:rsidR="006E27F8" w:rsidRPr="00B530BB" w:rsidRDefault="006E27F8" w:rsidP="002A0139">
      <w:pPr>
        <w:spacing w:before="240"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40AA7E4E" w14:textId="39159048" w:rsidR="00673AE7" w:rsidRPr="00B530BB" w:rsidRDefault="00673AE7" w:rsidP="002A0139">
      <w:pPr>
        <w:spacing w:before="240" w:line="360" w:lineRule="auto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r w:rsidRPr="00B530BB">
        <w:rPr>
          <w:rFonts w:ascii="Times New Roman" w:eastAsia="Calibri" w:hAnsi="Times New Roman"/>
          <w:i/>
          <w:iCs/>
          <w:sz w:val="24"/>
          <w:szCs w:val="24"/>
          <w:lang w:val="en-US"/>
        </w:rPr>
        <w:t>5.2</w:t>
      </w:r>
      <w:r w:rsidRPr="00B530BB">
        <w:rPr>
          <w:rFonts w:ascii="Times New Roman" w:eastAsia="Calibri" w:hAnsi="Times New Roman"/>
          <w:i/>
          <w:iCs/>
          <w:sz w:val="24"/>
          <w:szCs w:val="24"/>
          <w:lang w:val="en-US"/>
        </w:rPr>
        <w:tab/>
        <w:t>Farmer-specific information requirements</w:t>
      </w:r>
    </w:p>
    <w:p w14:paraId="1A9A69F2" w14:textId="116EFBDB" w:rsidR="00FA15D7" w:rsidRPr="00B530BB" w:rsidRDefault="0056613A" w:rsidP="002A0139">
      <w:pPr>
        <w:spacing w:before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 xml:space="preserve">When a PK </w:t>
      </w:r>
      <w:r w:rsidR="00A74EB1" w:rsidRPr="00B530BB">
        <w:rPr>
          <w:rFonts w:ascii="Times New Roman" w:eastAsia="Calibri" w:hAnsi="Times New Roman"/>
          <w:sz w:val="24"/>
          <w:szCs w:val="24"/>
          <w:lang w:val="en-US"/>
        </w:rPr>
        <w:t>abattoir cease</w:t>
      </w:r>
      <w:r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A74EB1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trading, </w:t>
      </w:r>
      <w:r w:rsidR="00621265" w:rsidRPr="00B530BB">
        <w:rPr>
          <w:rFonts w:ascii="Times New Roman" w:eastAsia="Calibri" w:hAnsi="Times New Roman"/>
          <w:sz w:val="24"/>
          <w:szCs w:val="24"/>
          <w:lang w:val="en-US"/>
        </w:rPr>
        <w:t>its supplying farmers</w:t>
      </w:r>
      <w:r w:rsidR="002171A4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US"/>
        </w:rPr>
        <w:t>n</w:t>
      </w:r>
      <w:r w:rsidR="00A74EB1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eed to </w:t>
      </w:r>
      <w:r w:rsidR="00C45F27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assess the </w:t>
      </w:r>
      <w:r w:rsidR="002171A4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suitability of alternative abattoirs for </w:t>
      </w:r>
      <w:r w:rsidR="00A74EB1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their </w:t>
      </w:r>
      <w:r w:rsidR="00040C38">
        <w:rPr>
          <w:rFonts w:ascii="Times New Roman" w:eastAsia="Calibri" w:hAnsi="Times New Roman"/>
          <w:sz w:val="24"/>
          <w:szCs w:val="24"/>
          <w:lang w:val="en-US"/>
        </w:rPr>
        <w:t>PK</w:t>
      </w:r>
      <w:r>
        <w:rPr>
          <w:rFonts w:ascii="Times New Roman" w:eastAsia="Calibri" w:hAnsi="Times New Roman"/>
          <w:sz w:val="24"/>
          <w:szCs w:val="24"/>
          <w:lang w:val="en-US"/>
        </w:rPr>
        <w:t>R</w:t>
      </w:r>
      <w:r w:rsidR="00A74EB1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business</w:t>
      </w:r>
      <w:r w:rsidR="00621265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needs</w:t>
      </w:r>
      <w:r w:rsidR="00A74EB1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.  </w:t>
      </w:r>
      <w:r w:rsidR="002171A4" w:rsidRPr="00B530BB">
        <w:rPr>
          <w:rFonts w:ascii="Times New Roman" w:eastAsia="Calibri" w:hAnsi="Times New Roman"/>
          <w:sz w:val="24"/>
          <w:szCs w:val="24"/>
          <w:lang w:val="en-US"/>
        </w:rPr>
        <w:t>The less attractive</w:t>
      </w:r>
      <w:r w:rsidR="00B66B93">
        <w:rPr>
          <w:rFonts w:ascii="Times New Roman" w:eastAsia="Calibri" w:hAnsi="Times New Roman"/>
          <w:sz w:val="24"/>
          <w:szCs w:val="24"/>
          <w:lang w:val="en-US"/>
        </w:rPr>
        <w:t xml:space="preserve"> any</w:t>
      </w:r>
      <w:r w:rsidR="002171A4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alternative</w:t>
      </w:r>
      <w:r w:rsidR="00406C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abattoir</w:t>
      </w:r>
      <w:r w:rsidR="002171A4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0371A6" w:rsidRPr="00B530BB">
        <w:rPr>
          <w:rFonts w:ascii="Times New Roman" w:eastAsia="Calibri" w:hAnsi="Times New Roman"/>
          <w:sz w:val="24"/>
          <w:szCs w:val="24"/>
          <w:lang w:val="en-US"/>
        </w:rPr>
        <w:lastRenderedPageBreak/>
        <w:t xml:space="preserve">is, </w:t>
      </w:r>
      <w:r w:rsidR="002171A4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 more likely the </w:t>
      </w:r>
      <w:r w:rsidR="00B66B93">
        <w:rPr>
          <w:rFonts w:ascii="Times New Roman" w:eastAsia="Calibri" w:hAnsi="Times New Roman"/>
          <w:sz w:val="24"/>
          <w:szCs w:val="24"/>
          <w:lang w:val="en-US"/>
        </w:rPr>
        <w:t xml:space="preserve">farmer’s </w:t>
      </w:r>
      <w:r w:rsidR="00040C38">
        <w:rPr>
          <w:rFonts w:ascii="Times New Roman" w:eastAsia="Calibri" w:hAnsi="Times New Roman"/>
          <w:sz w:val="24"/>
          <w:szCs w:val="24"/>
          <w:lang w:val="en-US"/>
        </w:rPr>
        <w:t>PK</w:t>
      </w:r>
      <w:r>
        <w:rPr>
          <w:rFonts w:ascii="Times New Roman" w:eastAsia="Calibri" w:hAnsi="Times New Roman"/>
          <w:sz w:val="24"/>
          <w:szCs w:val="24"/>
          <w:lang w:val="en-US"/>
        </w:rPr>
        <w:t>R</w:t>
      </w:r>
      <w:r w:rsidR="002171A4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business </w:t>
      </w:r>
      <w:r w:rsidR="00406C7D" w:rsidRPr="00B530BB">
        <w:rPr>
          <w:rFonts w:ascii="Times New Roman" w:eastAsia="Calibri" w:hAnsi="Times New Roman"/>
          <w:sz w:val="24"/>
          <w:szCs w:val="24"/>
          <w:lang w:val="en-US"/>
        </w:rPr>
        <w:t>w</w:t>
      </w:r>
      <w:r w:rsidR="000371A6" w:rsidRPr="00B530BB">
        <w:rPr>
          <w:rFonts w:ascii="Times New Roman" w:eastAsia="Calibri" w:hAnsi="Times New Roman"/>
          <w:sz w:val="24"/>
          <w:szCs w:val="24"/>
          <w:lang w:val="en-US"/>
        </w:rPr>
        <w:t>ould close</w:t>
      </w:r>
      <w:r w:rsidR="00406C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2171A4" w:rsidRPr="00B530BB">
        <w:rPr>
          <w:rFonts w:ascii="Times New Roman" w:eastAsia="Calibri" w:hAnsi="Times New Roman"/>
          <w:sz w:val="24"/>
          <w:szCs w:val="24"/>
          <w:lang w:val="en-US"/>
        </w:rPr>
        <w:fldChar w:fldCharType="begin"/>
      </w:r>
      <w:r w:rsidR="008B2881">
        <w:rPr>
          <w:rFonts w:ascii="Times New Roman" w:eastAsia="Calibri" w:hAnsi="Times New Roman"/>
          <w:sz w:val="24"/>
          <w:szCs w:val="24"/>
          <w:lang w:val="en-US"/>
        </w:rPr>
        <w:instrText xml:space="preserve"> ADDIN EN.CITE &lt;EndNote&gt;&lt;Cite&gt;&lt;Author&gt;Franks&lt;/Author&gt;&lt;Year&gt;2021&lt;/Year&gt;&lt;RecNum&gt;272&lt;/RecNum&gt;&lt;DisplayText&gt;(Franks and Peden, 2021)&lt;/DisplayText&gt;&lt;record&gt;&lt;rec-number&gt;272&lt;/rec-number&gt;&lt;foreign-keys&gt;&lt;key app="EN" db-id="e5d9x9tfh0a52xexwvlp2w0vef5xzfsp9dz0" timestamp="1630080862"&gt;272&lt;/key&gt;&lt;/foreign-keys&gt;&lt;ref-type name="Report"&gt;27&lt;/ref-type&gt;&lt;contributors&gt;&lt;authors&gt;&lt;author&gt;Franks, J. R.,&lt;/author&gt;&lt;author&gt;Peden, R.&lt;/author&gt;&lt;/authors&gt;&lt;tertiary-authors&gt;&lt;author&gt;The Princes Trust&lt;/author&gt;&lt;/tertiary-authors&gt;&lt;/contributors&gt;&lt;titles&gt;&lt;title&gt; An economic analysis of the role and viability of small abattoirs in the red meat supply chain&lt;/title&gt;&lt;/titles&gt;&lt;dates&gt;&lt;year&gt;2021&lt;/year&gt;&lt;/dates&gt;&lt;pub-location&gt;https://www.princescountrysidefund.org.uk/our-impact/our-research/all-on-the-table/ [Accessed May 2022]&lt;/pub-location&gt;&lt;urls&gt;&lt;related-urls&gt;&lt;url&gt;https://www.princescountrysidefund.org.uk/our-impact/our-research/all-on-the-table/ (accessed August 2021)&lt;/url&gt;&lt;/related-urls&gt;&lt;/urls&gt;&lt;/record&gt;&lt;/Cite&gt;&lt;/EndNote&gt;</w:instrText>
      </w:r>
      <w:r w:rsidR="002171A4" w:rsidRPr="00B530BB">
        <w:rPr>
          <w:rFonts w:ascii="Times New Roman" w:eastAsia="Calibri" w:hAnsi="Times New Roman"/>
          <w:sz w:val="24"/>
          <w:szCs w:val="24"/>
          <w:lang w:val="en-US"/>
        </w:rPr>
        <w:fldChar w:fldCharType="separate"/>
      </w:r>
      <w:r w:rsidR="002171A4" w:rsidRPr="00B530BB">
        <w:rPr>
          <w:rFonts w:ascii="Times New Roman" w:eastAsia="Calibri" w:hAnsi="Times New Roman"/>
          <w:noProof/>
          <w:sz w:val="24"/>
          <w:szCs w:val="24"/>
          <w:lang w:val="en-US"/>
        </w:rPr>
        <w:t>(Franks and Peden, 2021)</w:t>
      </w:r>
      <w:r w:rsidR="002171A4" w:rsidRPr="00B530BB">
        <w:rPr>
          <w:rFonts w:ascii="Times New Roman" w:eastAsia="Calibri" w:hAnsi="Times New Roman"/>
          <w:sz w:val="24"/>
          <w:szCs w:val="24"/>
          <w:lang w:val="en-US"/>
        </w:rPr>
        <w:fldChar w:fldCharType="end"/>
      </w:r>
      <w:r w:rsidR="000371A6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.  This </w:t>
      </w:r>
      <w:r w:rsidR="002171A4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would </w:t>
      </w:r>
      <w:r w:rsidR="00406C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reduce 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the </w:t>
      </w:r>
      <w:r w:rsidR="00406C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throughput and thereby </w:t>
      </w:r>
      <w:r w:rsidR="00FA2E4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jeopardize </w:t>
      </w:r>
      <w:r w:rsidR="00406C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the viability of </w:t>
      </w:r>
      <w:r w:rsidR="00FA2E4C" w:rsidRPr="00B530BB">
        <w:rPr>
          <w:rFonts w:ascii="Times New Roman" w:eastAsia="Calibri" w:hAnsi="Times New Roman"/>
          <w:sz w:val="24"/>
          <w:szCs w:val="24"/>
          <w:lang w:val="en-US"/>
        </w:rPr>
        <w:t>local-</w:t>
      </w:r>
      <w:r w:rsidR="00FB2CAB" w:rsidRPr="00B530BB">
        <w:rPr>
          <w:rFonts w:ascii="Times New Roman" w:eastAsia="Calibri" w:hAnsi="Times New Roman"/>
          <w:sz w:val="24"/>
          <w:szCs w:val="24"/>
          <w:lang w:val="en-US"/>
        </w:rPr>
        <w:t>finished</w:t>
      </w:r>
      <w:r w:rsidR="00FA2E4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2171A4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and </w:t>
      </w:r>
      <w:r w:rsidR="00406C7D" w:rsidRPr="00B530BB">
        <w:rPr>
          <w:rFonts w:ascii="Times New Roman" w:eastAsia="Calibri" w:hAnsi="Times New Roman"/>
          <w:sz w:val="24"/>
          <w:szCs w:val="24"/>
          <w:lang w:val="en-US"/>
        </w:rPr>
        <w:t>-</w:t>
      </w:r>
      <w:r w:rsidR="00FA2E4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slaughtered </w:t>
      </w:r>
      <w:r w:rsidR="002171A4" w:rsidRPr="00B530BB">
        <w:rPr>
          <w:rFonts w:ascii="Times New Roman" w:eastAsia="Calibri" w:hAnsi="Times New Roman"/>
          <w:sz w:val="24"/>
          <w:szCs w:val="24"/>
          <w:lang w:val="en-US"/>
        </w:rPr>
        <w:t>red meat supply chains</w:t>
      </w:r>
      <w:r w:rsidR="00FA2E4C" w:rsidRPr="00B530BB">
        <w:rPr>
          <w:rFonts w:ascii="Times New Roman" w:eastAsia="Calibri" w:hAnsi="Times New Roman"/>
          <w:sz w:val="24"/>
          <w:szCs w:val="24"/>
          <w:lang w:val="en-US"/>
        </w:rPr>
        <w:t>.</w:t>
      </w:r>
      <w:r w:rsidR="00413D7C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val="en-US"/>
        </w:rPr>
        <w:t>Therefore a</w:t>
      </w:r>
      <w:r w:rsidR="000371A6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406C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survey of 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PKR </w:t>
      </w:r>
      <w:r w:rsidR="00406C7D" w:rsidRPr="00B530BB">
        <w:rPr>
          <w:rFonts w:ascii="Times New Roman" w:eastAsia="Calibri" w:hAnsi="Times New Roman"/>
          <w:sz w:val="24"/>
          <w:szCs w:val="24"/>
          <w:lang w:val="en-US"/>
        </w:rPr>
        <w:t xml:space="preserve">farmers would need to identify </w:t>
      </w:r>
      <w:r w:rsidR="00413D7C" w:rsidRPr="00B530BB">
        <w:rPr>
          <w:rFonts w:ascii="Times New Roman" w:hAnsi="Times New Roman"/>
          <w:color w:val="000000" w:themeColor="text1"/>
          <w:sz w:val="24"/>
          <w:szCs w:val="24"/>
        </w:rPr>
        <w:t>which</w:t>
      </w:r>
      <w:r w:rsidR="00B66B93">
        <w:rPr>
          <w:rFonts w:ascii="Times New Roman" w:hAnsi="Times New Roman"/>
          <w:color w:val="000000" w:themeColor="text1"/>
          <w:sz w:val="24"/>
          <w:szCs w:val="24"/>
        </w:rPr>
        <w:t xml:space="preserve"> (if any)</w:t>
      </w:r>
      <w:r w:rsidR="00406C7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D7C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of the </w:t>
      </w:r>
      <w:r w:rsidR="00DE380E" w:rsidRPr="00B530BB">
        <w:rPr>
          <w:rFonts w:ascii="Times New Roman" w:hAnsi="Times New Roman"/>
          <w:color w:val="000000" w:themeColor="text1"/>
          <w:sz w:val="24"/>
          <w:szCs w:val="24"/>
        </w:rPr>
        <w:t>abattoir</w:t>
      </w:r>
      <w:r w:rsidR="00413D7C" w:rsidRPr="00B530B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371A6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6B93">
        <w:rPr>
          <w:rFonts w:ascii="Times New Roman" w:hAnsi="Times New Roman"/>
          <w:color w:val="000000" w:themeColor="text1"/>
          <w:sz w:val="24"/>
          <w:szCs w:val="24"/>
        </w:rPr>
        <w:t xml:space="preserve">which remain trading the </w:t>
      </w:r>
      <w:r w:rsidR="00413D7C" w:rsidRPr="00B530BB">
        <w:rPr>
          <w:rFonts w:ascii="Times New Roman" w:hAnsi="Times New Roman"/>
          <w:color w:val="000000" w:themeColor="text1"/>
          <w:sz w:val="24"/>
          <w:szCs w:val="24"/>
        </w:rPr>
        <w:t>farmer would use</w:t>
      </w:r>
      <w:r w:rsidR="00406C7D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371A6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and to gather details of the resulting choice on the distance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(in kms and time) </w:t>
      </w:r>
      <w:r w:rsidR="000371A6" w:rsidRPr="00B530BB">
        <w:rPr>
          <w:rFonts w:ascii="Times New Roman" w:hAnsi="Times New Roman"/>
          <w:color w:val="000000" w:themeColor="text1"/>
          <w:sz w:val="24"/>
          <w:szCs w:val="24"/>
        </w:rPr>
        <w:t>and complexity of the livestock journey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371A6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from farm to abattoir</w:t>
      </w:r>
      <w:r w:rsidR="00406C7D" w:rsidRPr="00B530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7EDFA8" w14:textId="6146D6DF" w:rsidR="00413D7C" w:rsidRPr="00B530BB" w:rsidRDefault="00413D7C" w:rsidP="002A0139">
      <w:pPr>
        <w:spacing w:before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5AE1B20" w14:textId="33CF6E6C" w:rsidR="00673AE7" w:rsidRPr="00B530BB" w:rsidRDefault="00673AE7" w:rsidP="002A0139">
      <w:pPr>
        <w:spacing w:before="240" w:line="36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>5.3</w:t>
      </w:r>
      <w:r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ab/>
      </w:r>
      <w:r w:rsidR="00290524" w:rsidRPr="00B530BB">
        <w:rPr>
          <w:rFonts w:ascii="Times New Roman" w:hAnsi="Times New Roman"/>
          <w:i/>
          <w:iCs/>
          <w:color w:val="000000" w:themeColor="text1"/>
          <w:sz w:val="24"/>
          <w:szCs w:val="24"/>
        </w:rPr>
        <w:t>The next step</w:t>
      </w:r>
    </w:p>
    <w:p w14:paraId="4DEC92F3" w14:textId="1094158A" w:rsidR="00BC5974" w:rsidRDefault="009F340B" w:rsidP="002A0139">
      <w:pPr>
        <w:spacing w:after="24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530BB">
        <w:rPr>
          <w:rFonts w:ascii="Times New Roman" w:hAnsi="Times New Roman"/>
          <w:bCs/>
          <w:sz w:val="24"/>
          <w:szCs w:val="24"/>
        </w:rPr>
        <w:t>If these</w:t>
      </w:r>
      <w:r w:rsidR="001F7354" w:rsidRPr="00B530BB">
        <w:rPr>
          <w:rFonts w:ascii="Times New Roman" w:hAnsi="Times New Roman"/>
          <w:bCs/>
          <w:sz w:val="24"/>
          <w:szCs w:val="24"/>
        </w:rPr>
        <w:t xml:space="preserve"> </w:t>
      </w:r>
      <w:r w:rsidR="00BC5974">
        <w:rPr>
          <w:rFonts w:ascii="Times New Roman" w:hAnsi="Times New Roman"/>
          <w:bCs/>
          <w:sz w:val="24"/>
          <w:szCs w:val="24"/>
        </w:rPr>
        <w:t xml:space="preserve">more detailed </w:t>
      </w:r>
      <w:r w:rsidR="001F7354" w:rsidRPr="00B530BB">
        <w:rPr>
          <w:rFonts w:ascii="Times New Roman" w:hAnsi="Times New Roman"/>
          <w:bCs/>
          <w:sz w:val="24"/>
          <w:szCs w:val="24"/>
        </w:rPr>
        <w:t xml:space="preserve">data </w:t>
      </w:r>
      <w:r w:rsidR="0030183E">
        <w:rPr>
          <w:rFonts w:ascii="Times New Roman" w:hAnsi="Times New Roman"/>
          <w:bCs/>
          <w:sz w:val="24"/>
          <w:szCs w:val="24"/>
        </w:rPr>
        <w:t>were</w:t>
      </w:r>
      <w:r w:rsidR="001F7354" w:rsidRPr="00B530BB">
        <w:rPr>
          <w:rFonts w:ascii="Times New Roman" w:hAnsi="Times New Roman"/>
          <w:bCs/>
          <w:sz w:val="24"/>
          <w:szCs w:val="24"/>
        </w:rPr>
        <w:t xml:space="preserve"> </w:t>
      </w:r>
      <w:r w:rsidR="00BC5974">
        <w:rPr>
          <w:rFonts w:ascii="Times New Roman" w:hAnsi="Times New Roman"/>
          <w:bCs/>
          <w:sz w:val="24"/>
          <w:szCs w:val="24"/>
        </w:rPr>
        <w:t>available</w:t>
      </w:r>
      <w:r w:rsidR="00290524" w:rsidRPr="00B530BB">
        <w:rPr>
          <w:rFonts w:ascii="Times New Roman" w:hAnsi="Times New Roman"/>
          <w:bCs/>
          <w:sz w:val="24"/>
          <w:szCs w:val="24"/>
        </w:rPr>
        <w:t xml:space="preserve">, </w:t>
      </w:r>
      <w:r w:rsidR="00BC5974">
        <w:rPr>
          <w:rFonts w:ascii="Times New Roman" w:hAnsi="Times New Roman"/>
          <w:bCs/>
          <w:sz w:val="24"/>
          <w:szCs w:val="24"/>
        </w:rPr>
        <w:t>the used of GIS for visual representation of the data used in this study c</w:t>
      </w:r>
      <w:r w:rsidR="00627842">
        <w:rPr>
          <w:rFonts w:ascii="Times New Roman" w:hAnsi="Times New Roman"/>
          <w:bCs/>
          <w:sz w:val="24"/>
          <w:szCs w:val="24"/>
        </w:rPr>
        <w:t>ould</w:t>
      </w:r>
      <w:r w:rsidR="00BC5974">
        <w:rPr>
          <w:rFonts w:ascii="Times New Roman" w:hAnsi="Times New Roman"/>
          <w:bCs/>
          <w:sz w:val="24"/>
          <w:szCs w:val="24"/>
        </w:rPr>
        <w:t xml:space="preserve"> be replaced by more accurate estimates of geographic coverage.  For example, including transportation network</w:t>
      </w:r>
      <w:r w:rsidR="00627842">
        <w:rPr>
          <w:rFonts w:ascii="Times New Roman" w:hAnsi="Times New Roman"/>
          <w:bCs/>
          <w:sz w:val="24"/>
          <w:szCs w:val="24"/>
        </w:rPr>
        <w:t>s</w:t>
      </w:r>
      <w:r w:rsidR="00BC5974">
        <w:rPr>
          <w:rFonts w:ascii="Times New Roman" w:hAnsi="Times New Roman"/>
          <w:bCs/>
          <w:sz w:val="24"/>
          <w:szCs w:val="24"/>
        </w:rPr>
        <w:t xml:space="preserve"> </w:t>
      </w:r>
      <w:r w:rsidR="00627842">
        <w:rPr>
          <w:rFonts w:ascii="Times New Roman" w:hAnsi="Times New Roman"/>
          <w:bCs/>
          <w:sz w:val="24"/>
          <w:szCs w:val="24"/>
        </w:rPr>
        <w:t>a</w:t>
      </w:r>
      <w:r w:rsidR="00BC5974">
        <w:rPr>
          <w:rFonts w:ascii="Times New Roman" w:hAnsi="Times New Roman"/>
          <w:bCs/>
          <w:sz w:val="24"/>
          <w:szCs w:val="24"/>
        </w:rPr>
        <w:t>nd associating standard transport speeds for different classes of road</w:t>
      </w:r>
      <w:r w:rsidR="00627842">
        <w:rPr>
          <w:rFonts w:ascii="Times New Roman" w:hAnsi="Times New Roman"/>
          <w:bCs/>
          <w:sz w:val="24"/>
          <w:szCs w:val="24"/>
        </w:rPr>
        <w:t xml:space="preserve"> in the analysis would</w:t>
      </w:r>
      <w:r w:rsidR="00BC5974">
        <w:rPr>
          <w:rFonts w:ascii="Times New Roman" w:hAnsi="Times New Roman"/>
          <w:bCs/>
          <w:sz w:val="24"/>
          <w:szCs w:val="24"/>
        </w:rPr>
        <w:t xml:space="preserve"> allow </w:t>
      </w:r>
      <w:r w:rsidR="00627842">
        <w:rPr>
          <w:rFonts w:ascii="Times New Roman" w:hAnsi="Times New Roman"/>
          <w:bCs/>
          <w:sz w:val="24"/>
          <w:szCs w:val="24"/>
        </w:rPr>
        <w:t xml:space="preserve">more accurate </w:t>
      </w:r>
      <w:r w:rsidR="00BC5974">
        <w:rPr>
          <w:rFonts w:ascii="Times New Roman" w:hAnsi="Times New Roman"/>
          <w:bCs/>
          <w:sz w:val="24"/>
          <w:szCs w:val="24"/>
        </w:rPr>
        <w:t xml:space="preserve">estimates of the change in livestock journey time </w:t>
      </w:r>
      <w:r w:rsidR="00627842">
        <w:rPr>
          <w:rFonts w:ascii="Times New Roman" w:hAnsi="Times New Roman"/>
          <w:bCs/>
          <w:sz w:val="24"/>
          <w:szCs w:val="24"/>
        </w:rPr>
        <w:t xml:space="preserve">and distance </w:t>
      </w:r>
      <w:r w:rsidR="00BC5974">
        <w:rPr>
          <w:rFonts w:ascii="Times New Roman" w:hAnsi="Times New Roman"/>
          <w:bCs/>
          <w:sz w:val="24"/>
          <w:szCs w:val="24"/>
        </w:rPr>
        <w:t xml:space="preserve">and </w:t>
      </w:r>
      <w:r w:rsidR="00290524" w:rsidRPr="00B530BB">
        <w:rPr>
          <w:rFonts w:ascii="Times New Roman" w:hAnsi="Times New Roman"/>
          <w:bCs/>
          <w:sz w:val="24"/>
          <w:szCs w:val="24"/>
        </w:rPr>
        <w:t>complexit</w:t>
      </w:r>
      <w:r w:rsidR="00627842">
        <w:rPr>
          <w:rFonts w:ascii="Times New Roman" w:hAnsi="Times New Roman"/>
          <w:bCs/>
          <w:sz w:val="24"/>
          <w:szCs w:val="24"/>
        </w:rPr>
        <w:t>y</w:t>
      </w:r>
      <w:r w:rsidR="00290524" w:rsidRPr="00B530BB">
        <w:rPr>
          <w:rFonts w:ascii="Times New Roman" w:hAnsi="Times New Roman"/>
          <w:bCs/>
          <w:sz w:val="24"/>
          <w:szCs w:val="24"/>
        </w:rPr>
        <w:t xml:space="preserve"> </w:t>
      </w:r>
      <w:r w:rsidR="001F7354" w:rsidRPr="00B530BB">
        <w:rPr>
          <w:rFonts w:ascii="Times New Roman" w:hAnsi="Times New Roman"/>
          <w:bCs/>
          <w:sz w:val="24"/>
          <w:szCs w:val="24"/>
        </w:rPr>
        <w:t xml:space="preserve">resulting from </w:t>
      </w:r>
      <w:r w:rsidR="0030183E">
        <w:rPr>
          <w:rFonts w:ascii="Times New Roman" w:hAnsi="Times New Roman"/>
          <w:bCs/>
          <w:sz w:val="24"/>
          <w:szCs w:val="24"/>
        </w:rPr>
        <w:t xml:space="preserve">abattoir </w:t>
      </w:r>
      <w:r w:rsidR="001F7354" w:rsidRPr="00B530BB">
        <w:rPr>
          <w:rFonts w:ascii="Times New Roman" w:hAnsi="Times New Roman"/>
          <w:bCs/>
          <w:sz w:val="24"/>
          <w:szCs w:val="24"/>
        </w:rPr>
        <w:t>closure</w:t>
      </w:r>
      <w:r w:rsidR="00627842">
        <w:rPr>
          <w:rFonts w:ascii="Times New Roman" w:hAnsi="Times New Roman"/>
          <w:bCs/>
          <w:sz w:val="24"/>
          <w:szCs w:val="24"/>
        </w:rPr>
        <w:t>s</w:t>
      </w:r>
      <w:r w:rsidR="001F7354" w:rsidRPr="00B530BB">
        <w:rPr>
          <w:rFonts w:ascii="Times New Roman" w:hAnsi="Times New Roman"/>
          <w:bCs/>
          <w:sz w:val="24"/>
          <w:szCs w:val="24"/>
        </w:rPr>
        <w:t>.</w:t>
      </w:r>
      <w:r w:rsidR="00BC5974">
        <w:rPr>
          <w:rFonts w:ascii="Times New Roman" w:hAnsi="Times New Roman"/>
          <w:bCs/>
          <w:sz w:val="24"/>
          <w:szCs w:val="24"/>
        </w:rPr>
        <w:t xml:space="preserve">  </w:t>
      </w:r>
      <w:r w:rsidR="00627842">
        <w:rPr>
          <w:rFonts w:ascii="Times New Roman" w:hAnsi="Times New Roman"/>
          <w:bCs/>
          <w:sz w:val="24"/>
          <w:szCs w:val="24"/>
        </w:rPr>
        <w:t>With the appropriate survey data, s</w:t>
      </w:r>
      <w:r w:rsidR="00BC5974">
        <w:rPr>
          <w:rFonts w:ascii="Times New Roman" w:hAnsi="Times New Roman"/>
          <w:bCs/>
          <w:sz w:val="24"/>
          <w:szCs w:val="24"/>
        </w:rPr>
        <w:t xml:space="preserve">uch an analysis could </w:t>
      </w:r>
      <w:r w:rsidR="00627842">
        <w:rPr>
          <w:rFonts w:ascii="Times New Roman" w:hAnsi="Times New Roman"/>
          <w:bCs/>
          <w:sz w:val="24"/>
          <w:szCs w:val="24"/>
        </w:rPr>
        <w:t>assess</w:t>
      </w:r>
      <w:r w:rsidR="00A50E72" w:rsidRPr="00B530BB">
        <w:rPr>
          <w:rFonts w:ascii="Times New Roman" w:hAnsi="Times New Roman"/>
          <w:bCs/>
          <w:sz w:val="24"/>
          <w:szCs w:val="24"/>
        </w:rPr>
        <w:t xml:space="preserve"> the impacts of adding</w:t>
      </w:r>
      <w:r w:rsidR="00290524" w:rsidRPr="00B530BB">
        <w:rPr>
          <w:rFonts w:ascii="Times New Roman" w:hAnsi="Times New Roman"/>
          <w:bCs/>
          <w:sz w:val="24"/>
          <w:szCs w:val="24"/>
        </w:rPr>
        <w:t xml:space="preserve"> </w:t>
      </w:r>
      <w:r w:rsidR="00627842">
        <w:rPr>
          <w:rFonts w:ascii="Times New Roman" w:hAnsi="Times New Roman"/>
          <w:bCs/>
          <w:sz w:val="24"/>
          <w:szCs w:val="24"/>
        </w:rPr>
        <w:t xml:space="preserve">to the PK network working </w:t>
      </w:r>
      <w:r w:rsidR="00290524" w:rsidRPr="00B530BB">
        <w:rPr>
          <w:rFonts w:ascii="Times New Roman" w:hAnsi="Times New Roman"/>
          <w:bCs/>
          <w:sz w:val="24"/>
          <w:szCs w:val="24"/>
        </w:rPr>
        <w:t xml:space="preserve">abattoirs </w:t>
      </w:r>
      <w:r w:rsidR="00627842">
        <w:rPr>
          <w:rFonts w:ascii="Times New Roman" w:hAnsi="Times New Roman"/>
          <w:bCs/>
          <w:sz w:val="24"/>
          <w:szCs w:val="24"/>
        </w:rPr>
        <w:t xml:space="preserve">which are </w:t>
      </w:r>
      <w:r w:rsidR="00290524" w:rsidRPr="00B530BB">
        <w:rPr>
          <w:rFonts w:ascii="Times New Roman" w:hAnsi="Times New Roman"/>
          <w:bCs/>
          <w:sz w:val="24"/>
          <w:szCs w:val="24"/>
        </w:rPr>
        <w:t xml:space="preserve">not currently offering </w:t>
      </w:r>
      <w:r w:rsidR="00040C38">
        <w:rPr>
          <w:rFonts w:ascii="Times New Roman" w:hAnsi="Times New Roman"/>
          <w:bCs/>
          <w:sz w:val="24"/>
          <w:szCs w:val="24"/>
        </w:rPr>
        <w:t>PK</w:t>
      </w:r>
      <w:r w:rsidR="00290524" w:rsidRPr="00B530BB">
        <w:rPr>
          <w:rFonts w:ascii="Times New Roman" w:hAnsi="Times New Roman"/>
          <w:bCs/>
          <w:sz w:val="24"/>
          <w:szCs w:val="24"/>
        </w:rPr>
        <w:t xml:space="preserve"> services</w:t>
      </w:r>
      <w:r w:rsidR="00A50E72" w:rsidRPr="00B530BB">
        <w:rPr>
          <w:rFonts w:ascii="Times New Roman" w:hAnsi="Times New Roman"/>
          <w:bCs/>
          <w:sz w:val="24"/>
          <w:szCs w:val="24"/>
        </w:rPr>
        <w:t>.</w:t>
      </w:r>
    </w:p>
    <w:p w14:paraId="7B456610" w14:textId="10141C5E" w:rsidR="00923B6B" w:rsidRPr="00B530BB" w:rsidRDefault="00627842" w:rsidP="002A0139">
      <w:pPr>
        <w:spacing w:after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More accurate information </w:t>
      </w:r>
      <w:r w:rsidR="0030183E">
        <w:rPr>
          <w:rFonts w:ascii="Times New Roman" w:hAnsi="Times New Roman"/>
          <w:bCs/>
          <w:sz w:val="24"/>
          <w:szCs w:val="24"/>
        </w:rPr>
        <w:t xml:space="preserve">would also </w:t>
      </w:r>
      <w:r>
        <w:rPr>
          <w:rFonts w:ascii="Times New Roman" w:hAnsi="Times New Roman"/>
          <w:bCs/>
          <w:sz w:val="24"/>
          <w:szCs w:val="24"/>
        </w:rPr>
        <w:t xml:space="preserve">be of </w:t>
      </w:r>
      <w:r w:rsidR="0030183E">
        <w:rPr>
          <w:rFonts w:ascii="Times New Roman" w:hAnsi="Times New Roman"/>
          <w:bCs/>
          <w:sz w:val="24"/>
          <w:szCs w:val="24"/>
        </w:rPr>
        <w:t xml:space="preserve">help </w:t>
      </w:r>
      <w:r>
        <w:rPr>
          <w:rFonts w:ascii="Times New Roman" w:hAnsi="Times New Roman"/>
          <w:bCs/>
          <w:sz w:val="24"/>
          <w:szCs w:val="24"/>
        </w:rPr>
        <w:t>in</w:t>
      </w:r>
      <w:r w:rsidR="00BC5974">
        <w:rPr>
          <w:rFonts w:ascii="Times New Roman" w:hAnsi="Times New Roman"/>
          <w:bCs/>
          <w:sz w:val="24"/>
          <w:szCs w:val="24"/>
        </w:rPr>
        <w:t xml:space="preserve"> </w:t>
      </w:r>
      <w:r w:rsidR="0030183E">
        <w:rPr>
          <w:rFonts w:ascii="Times New Roman" w:hAnsi="Times New Roman"/>
          <w:bCs/>
          <w:sz w:val="24"/>
          <w:szCs w:val="24"/>
        </w:rPr>
        <w:t>develop</w:t>
      </w:r>
      <w:r>
        <w:rPr>
          <w:rFonts w:ascii="Times New Roman" w:hAnsi="Times New Roman"/>
          <w:bCs/>
          <w:sz w:val="24"/>
          <w:szCs w:val="24"/>
        </w:rPr>
        <w:t>ing</w:t>
      </w:r>
      <w:r w:rsidR="0030183E">
        <w:rPr>
          <w:rFonts w:ascii="Times New Roman" w:hAnsi="Times New Roman"/>
          <w:bCs/>
          <w:sz w:val="24"/>
          <w:szCs w:val="24"/>
        </w:rPr>
        <w:t xml:space="preserve"> </w:t>
      </w:r>
      <w:r w:rsidR="00A50E72" w:rsidRPr="00B530BB">
        <w:rPr>
          <w:rFonts w:ascii="Times New Roman" w:hAnsi="Times New Roman"/>
          <w:color w:val="000000" w:themeColor="text1"/>
          <w:sz w:val="24"/>
          <w:szCs w:val="24"/>
        </w:rPr>
        <w:t>viable business models for mobile abattoir services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50E72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which may be more efficient and economical ways to replace l</w:t>
      </w:r>
      <w:r w:rsidR="00491E29" w:rsidRPr="00B530BB">
        <w:rPr>
          <w:rFonts w:ascii="Times New Roman" w:hAnsi="Times New Roman"/>
          <w:color w:val="000000" w:themeColor="text1"/>
          <w:sz w:val="24"/>
          <w:szCs w:val="24"/>
        </w:rPr>
        <w:t>ost</w:t>
      </w:r>
      <w:r w:rsidR="00923B6B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0C38">
        <w:rPr>
          <w:rFonts w:ascii="Times New Roman" w:hAnsi="Times New Roman"/>
          <w:color w:val="000000" w:themeColor="text1"/>
          <w:sz w:val="24"/>
          <w:szCs w:val="24"/>
        </w:rPr>
        <w:t>PK</w:t>
      </w:r>
      <w:r w:rsidR="00923B6B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services</w:t>
      </w:r>
      <w:r w:rsidR="00BC5974">
        <w:rPr>
          <w:rFonts w:ascii="Times New Roman" w:hAnsi="Times New Roman"/>
          <w:color w:val="000000" w:themeColor="text1"/>
          <w:sz w:val="24"/>
          <w:szCs w:val="24"/>
        </w:rPr>
        <w:t xml:space="preserve"> in some areas of the UK</w:t>
      </w:r>
      <w:r w:rsidR="002475DC" w:rsidRPr="00B530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75DC" w:rsidRPr="00B530BB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ldData xml:space="preserve">PEVuZE5vdGU+PENpdGU+PEF1dGhvcj5CYWJiPC9BdXRob3I+PFllYXI+MjAxMjwvWWVhcj48UmVj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</w:fldData>
        </w:fldChar>
      </w:r>
      <w:r w:rsidR="009527E6">
        <w:rPr>
          <w:rFonts w:ascii="Times New Roman" w:hAnsi="Times New Roman"/>
          <w:color w:val="000000" w:themeColor="text1"/>
          <w:sz w:val="24"/>
          <w:szCs w:val="24"/>
        </w:rPr>
        <w:instrText xml:space="preserve"> ADDIN EN.CITE </w:instrText>
      </w:r>
      <w:r w:rsidR="009527E6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ldData xml:space="preserve">PEVuZE5vdGU+PENpdGU+PEF1dGhvcj5CYWJiPC9BdXRob3I+PFllYXI+MjAxMjwvWWVhcj48UmVj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</w:fldData>
        </w:fldChar>
      </w:r>
      <w:r w:rsidR="009527E6">
        <w:rPr>
          <w:rFonts w:ascii="Times New Roman" w:hAnsi="Times New Roman"/>
          <w:color w:val="000000" w:themeColor="text1"/>
          <w:sz w:val="24"/>
          <w:szCs w:val="24"/>
        </w:rPr>
        <w:instrText xml:space="preserve"> ADDIN EN.CITE.DATA </w:instrText>
      </w:r>
      <w:r w:rsidR="009527E6">
        <w:rPr>
          <w:rFonts w:ascii="Times New Roman" w:hAnsi="Times New Roman"/>
          <w:color w:val="000000" w:themeColor="text1"/>
          <w:sz w:val="24"/>
          <w:szCs w:val="24"/>
        </w:rPr>
      </w:r>
      <w:r w:rsidR="009527E6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2475DC" w:rsidRPr="00B530BB">
        <w:rPr>
          <w:rFonts w:ascii="Times New Roman" w:hAnsi="Times New Roman"/>
          <w:color w:val="000000" w:themeColor="text1"/>
          <w:sz w:val="24"/>
          <w:szCs w:val="24"/>
        </w:rPr>
      </w:r>
      <w:r w:rsidR="002475DC" w:rsidRPr="00B530BB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9527E6">
        <w:rPr>
          <w:rFonts w:ascii="Times New Roman" w:hAnsi="Times New Roman"/>
          <w:noProof/>
          <w:color w:val="000000" w:themeColor="text1"/>
          <w:sz w:val="24"/>
          <w:szCs w:val="24"/>
        </w:rPr>
        <w:t>(Babb and Kennedy, 2012, Fisher et al., 2004, Lambooij et al., 2011, Wood, 2019, Menzies et al., 2020)</w:t>
      </w:r>
      <w:r w:rsidR="002475DC" w:rsidRPr="00B530BB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2475DC" w:rsidRPr="00B530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BBFAC60" w14:textId="7344A6F4" w:rsidR="000B63B4" w:rsidRPr="00B530BB" w:rsidRDefault="000B63B4" w:rsidP="002A0139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p w14:paraId="011268F8" w14:textId="630D1CD6" w:rsidR="00DB561E" w:rsidRPr="00B530BB" w:rsidRDefault="007A6976" w:rsidP="002A0139">
      <w:pPr>
        <w:spacing w:after="240" w:line="360" w:lineRule="auto"/>
        <w:rPr>
          <w:rFonts w:ascii="Times New Roman" w:hAnsi="Times New Roman"/>
          <w:b/>
          <w:iCs/>
          <w:sz w:val="24"/>
          <w:szCs w:val="24"/>
        </w:rPr>
      </w:pPr>
      <w:r w:rsidRPr="00B530BB">
        <w:rPr>
          <w:rFonts w:ascii="Times New Roman" w:hAnsi="Times New Roman"/>
          <w:b/>
          <w:iCs/>
          <w:sz w:val="24"/>
          <w:szCs w:val="24"/>
        </w:rPr>
        <w:t>6</w:t>
      </w:r>
      <w:r w:rsidR="00081ABB" w:rsidRPr="00B530BB">
        <w:rPr>
          <w:rFonts w:ascii="Times New Roman" w:hAnsi="Times New Roman"/>
          <w:b/>
          <w:iCs/>
          <w:sz w:val="24"/>
          <w:szCs w:val="24"/>
        </w:rPr>
        <w:tab/>
      </w:r>
      <w:r w:rsidR="00AB0680" w:rsidRPr="00B530BB">
        <w:rPr>
          <w:rFonts w:ascii="Times New Roman" w:hAnsi="Times New Roman"/>
          <w:b/>
          <w:iCs/>
          <w:sz w:val="24"/>
          <w:szCs w:val="24"/>
        </w:rPr>
        <w:t>Conclusions</w:t>
      </w:r>
    </w:p>
    <w:p w14:paraId="42AAF294" w14:textId="77777777" w:rsidR="003A55EF" w:rsidRDefault="00394DD3" w:rsidP="002A0139">
      <w:pPr>
        <w:spacing w:before="240" w:after="24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530BB">
        <w:rPr>
          <w:rFonts w:ascii="Times New Roman" w:hAnsi="Times New Roman"/>
          <w:bCs/>
          <w:sz w:val="24"/>
          <w:szCs w:val="24"/>
        </w:rPr>
        <w:t xml:space="preserve">The 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further </w:t>
      </w:r>
      <w:r w:rsidRPr="00B530BB">
        <w:rPr>
          <w:rFonts w:ascii="Times New Roman" w:hAnsi="Times New Roman"/>
          <w:bCs/>
          <w:sz w:val="24"/>
          <w:szCs w:val="24"/>
        </w:rPr>
        <w:t xml:space="preserve">closure of </w:t>
      </w:r>
      <w:r w:rsidR="00040C38">
        <w:rPr>
          <w:rFonts w:ascii="Times New Roman" w:hAnsi="Times New Roman"/>
          <w:bCs/>
          <w:sz w:val="24"/>
          <w:szCs w:val="24"/>
        </w:rPr>
        <w:t>PK</w:t>
      </w:r>
      <w:r w:rsidRPr="00B530BB">
        <w:rPr>
          <w:rFonts w:ascii="Times New Roman" w:hAnsi="Times New Roman"/>
          <w:bCs/>
          <w:sz w:val="24"/>
          <w:szCs w:val="24"/>
        </w:rPr>
        <w:t xml:space="preserve"> abattoirs will result in longer and more complex livestock journeys from farm to abattoir</w:t>
      </w:r>
      <w:r w:rsidR="00B04836" w:rsidRPr="00B530BB">
        <w:rPr>
          <w:rFonts w:ascii="Times New Roman" w:hAnsi="Times New Roman"/>
          <w:bCs/>
          <w:sz w:val="24"/>
          <w:szCs w:val="24"/>
        </w:rPr>
        <w:t xml:space="preserve">.  The extent to which </w:t>
      </w:r>
      <w:r w:rsidRPr="00B530BB">
        <w:rPr>
          <w:rFonts w:ascii="Times New Roman" w:hAnsi="Times New Roman"/>
          <w:bCs/>
          <w:sz w:val="24"/>
          <w:szCs w:val="24"/>
        </w:rPr>
        <w:t xml:space="preserve">this 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will be detrimental to animal welfare and </w:t>
      </w:r>
      <w:r w:rsidRPr="00B530BB">
        <w:rPr>
          <w:rFonts w:ascii="Times New Roman" w:hAnsi="Times New Roman"/>
          <w:bCs/>
          <w:sz w:val="24"/>
          <w:szCs w:val="24"/>
        </w:rPr>
        <w:t xml:space="preserve">undermine farmers’ </w:t>
      </w:r>
      <w:r w:rsidR="00040C38">
        <w:rPr>
          <w:rFonts w:ascii="Times New Roman" w:hAnsi="Times New Roman"/>
          <w:bCs/>
          <w:sz w:val="24"/>
          <w:szCs w:val="24"/>
        </w:rPr>
        <w:t>PK</w:t>
      </w:r>
      <w:r w:rsidR="0053041D">
        <w:rPr>
          <w:rFonts w:ascii="Times New Roman" w:hAnsi="Times New Roman"/>
          <w:bCs/>
          <w:sz w:val="24"/>
          <w:szCs w:val="24"/>
        </w:rPr>
        <w:t>R</w:t>
      </w:r>
      <w:r w:rsidRPr="00B530BB">
        <w:rPr>
          <w:rFonts w:ascii="Times New Roman" w:hAnsi="Times New Roman"/>
          <w:bCs/>
          <w:sz w:val="24"/>
          <w:szCs w:val="24"/>
        </w:rPr>
        <w:t xml:space="preserve"> enterprises, which </w:t>
      </w:r>
      <w:r w:rsidR="00B04836" w:rsidRPr="00B530BB">
        <w:rPr>
          <w:rFonts w:ascii="Times New Roman" w:hAnsi="Times New Roman"/>
          <w:bCs/>
          <w:sz w:val="24"/>
          <w:szCs w:val="24"/>
        </w:rPr>
        <w:t>in turn</w:t>
      </w:r>
      <w:r w:rsidRPr="00B530BB">
        <w:rPr>
          <w:rFonts w:ascii="Times New Roman" w:hAnsi="Times New Roman"/>
          <w:bCs/>
          <w:sz w:val="24"/>
          <w:szCs w:val="24"/>
        </w:rPr>
        <w:t xml:space="preserve"> </w:t>
      </w:r>
      <w:r w:rsidR="0053041D">
        <w:rPr>
          <w:rFonts w:ascii="Times New Roman" w:hAnsi="Times New Roman"/>
          <w:bCs/>
          <w:sz w:val="24"/>
          <w:szCs w:val="24"/>
        </w:rPr>
        <w:t xml:space="preserve">would </w:t>
      </w:r>
      <w:r w:rsidRPr="00B530BB">
        <w:rPr>
          <w:rFonts w:ascii="Times New Roman" w:hAnsi="Times New Roman"/>
          <w:bCs/>
          <w:sz w:val="24"/>
          <w:szCs w:val="24"/>
        </w:rPr>
        <w:t xml:space="preserve">threaten </w:t>
      </w:r>
      <w:r w:rsidR="0053041D">
        <w:rPr>
          <w:rFonts w:ascii="Times New Roman" w:hAnsi="Times New Roman"/>
          <w:bCs/>
          <w:sz w:val="24"/>
          <w:szCs w:val="24"/>
        </w:rPr>
        <w:t xml:space="preserve">businesses in </w:t>
      </w:r>
      <w:r w:rsidRPr="00B530BB">
        <w:rPr>
          <w:rFonts w:ascii="Times New Roman" w:hAnsi="Times New Roman"/>
          <w:bCs/>
          <w:sz w:val="24"/>
          <w:szCs w:val="24"/>
        </w:rPr>
        <w:t>the locally-</w:t>
      </w:r>
      <w:r w:rsidR="00FB2CAB" w:rsidRPr="00B530BB">
        <w:rPr>
          <w:rFonts w:ascii="Times New Roman" w:hAnsi="Times New Roman"/>
          <w:bCs/>
          <w:sz w:val="24"/>
          <w:szCs w:val="24"/>
        </w:rPr>
        <w:t>finished</w:t>
      </w:r>
      <w:r w:rsidRPr="00B530BB">
        <w:rPr>
          <w:rFonts w:ascii="Times New Roman" w:hAnsi="Times New Roman"/>
          <w:bCs/>
          <w:sz w:val="24"/>
          <w:szCs w:val="24"/>
        </w:rPr>
        <w:t xml:space="preserve"> and -slaughtered red meat supply chain</w:t>
      </w:r>
      <w:r w:rsidR="00B04836" w:rsidRPr="00B530BB">
        <w:rPr>
          <w:rFonts w:ascii="Times New Roman" w:hAnsi="Times New Roman"/>
          <w:bCs/>
          <w:sz w:val="24"/>
          <w:szCs w:val="24"/>
        </w:rPr>
        <w:t xml:space="preserve"> will depend on the number of abattoirs that close and the geographical distribution of those remaining in business</w:t>
      </w:r>
      <w:r w:rsidRPr="00B530BB">
        <w:rPr>
          <w:rFonts w:ascii="Times New Roman" w:hAnsi="Times New Roman"/>
          <w:bCs/>
          <w:sz w:val="24"/>
          <w:szCs w:val="24"/>
        </w:rPr>
        <w:t>.</w:t>
      </w:r>
      <w:r w:rsidR="003A55EF">
        <w:rPr>
          <w:rFonts w:ascii="Times New Roman" w:hAnsi="Times New Roman"/>
          <w:bCs/>
          <w:sz w:val="24"/>
          <w:szCs w:val="24"/>
        </w:rPr>
        <w:t xml:space="preserve">  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Although </w:t>
      </w:r>
      <w:r w:rsidR="00F47C4A" w:rsidRPr="00B530BB">
        <w:rPr>
          <w:rFonts w:ascii="Times New Roman" w:hAnsi="Times New Roman"/>
          <w:bCs/>
          <w:sz w:val="24"/>
          <w:szCs w:val="24"/>
        </w:rPr>
        <w:t xml:space="preserve">there is provision in the Agriculture Bill to provide grant-funded assistance to abattoirs, no study has examined how </w:t>
      </w:r>
      <w:r w:rsidR="00B04836" w:rsidRPr="00B530BB">
        <w:rPr>
          <w:rFonts w:ascii="Times New Roman" w:hAnsi="Times New Roman"/>
          <w:bCs/>
          <w:sz w:val="24"/>
          <w:szCs w:val="24"/>
        </w:rPr>
        <w:t xml:space="preserve">support instruments 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should </w:t>
      </w:r>
      <w:r w:rsidR="00F47C4A" w:rsidRPr="00B530BB">
        <w:rPr>
          <w:rFonts w:ascii="Times New Roman" w:hAnsi="Times New Roman"/>
          <w:bCs/>
          <w:sz w:val="24"/>
          <w:szCs w:val="24"/>
        </w:rPr>
        <w:t xml:space="preserve">be targeted to maintain and expand the </w:t>
      </w:r>
      <w:r w:rsidR="00040C38">
        <w:rPr>
          <w:rFonts w:ascii="Times New Roman" w:hAnsi="Times New Roman"/>
          <w:bCs/>
          <w:sz w:val="24"/>
          <w:szCs w:val="24"/>
        </w:rPr>
        <w:t>PK</w:t>
      </w:r>
      <w:r w:rsidR="00F47C4A" w:rsidRPr="00B530BB">
        <w:rPr>
          <w:rFonts w:ascii="Times New Roman" w:hAnsi="Times New Roman"/>
          <w:bCs/>
          <w:sz w:val="24"/>
          <w:szCs w:val="24"/>
        </w:rPr>
        <w:t xml:space="preserve"> network to offset these </w:t>
      </w:r>
      <w:r w:rsidR="00B04836" w:rsidRPr="00B530BB">
        <w:rPr>
          <w:rFonts w:ascii="Times New Roman" w:hAnsi="Times New Roman"/>
          <w:bCs/>
          <w:sz w:val="24"/>
          <w:szCs w:val="24"/>
        </w:rPr>
        <w:t xml:space="preserve">adverse </w:t>
      </w:r>
      <w:r w:rsidR="00F47C4A" w:rsidRPr="00B530BB">
        <w:rPr>
          <w:rFonts w:ascii="Times New Roman" w:hAnsi="Times New Roman"/>
          <w:bCs/>
          <w:sz w:val="24"/>
          <w:szCs w:val="24"/>
        </w:rPr>
        <w:t>impacts.</w:t>
      </w:r>
    </w:p>
    <w:p w14:paraId="655D5703" w14:textId="6623B1D6" w:rsidR="00FE6DC0" w:rsidRPr="00B530BB" w:rsidRDefault="00625D6D" w:rsidP="002A0139">
      <w:pPr>
        <w:spacing w:before="240" w:after="24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530BB">
        <w:rPr>
          <w:rFonts w:ascii="Times New Roman" w:hAnsi="Times New Roman"/>
          <w:bCs/>
          <w:sz w:val="24"/>
          <w:szCs w:val="24"/>
        </w:rPr>
        <w:lastRenderedPageBreak/>
        <w:t xml:space="preserve">This proof of concept study 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is a first step in doing so.  It </w:t>
      </w:r>
      <w:r w:rsidRPr="00B530BB">
        <w:rPr>
          <w:rFonts w:ascii="Times New Roman" w:hAnsi="Times New Roman"/>
          <w:bCs/>
          <w:sz w:val="24"/>
          <w:szCs w:val="24"/>
        </w:rPr>
        <w:t xml:space="preserve">has shown 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how </w:t>
      </w:r>
      <w:r w:rsidRPr="00B530BB">
        <w:rPr>
          <w:rFonts w:ascii="Times New Roman" w:hAnsi="Times New Roman"/>
          <w:bCs/>
          <w:sz w:val="24"/>
          <w:szCs w:val="24"/>
        </w:rPr>
        <w:t>combining farmer and abattoir survey data</w:t>
      </w:r>
      <w:r w:rsidR="001F3F7B" w:rsidRPr="00B530BB">
        <w:rPr>
          <w:rFonts w:ascii="Times New Roman" w:hAnsi="Times New Roman"/>
          <w:bCs/>
          <w:sz w:val="24"/>
          <w:szCs w:val="24"/>
        </w:rPr>
        <w:t>,</w:t>
      </w:r>
      <w:r w:rsidRPr="00B530BB">
        <w:rPr>
          <w:rFonts w:ascii="Times New Roman" w:hAnsi="Times New Roman"/>
          <w:bCs/>
          <w:sz w:val="24"/>
          <w:szCs w:val="24"/>
        </w:rPr>
        <w:t xml:space="preserve"> </w:t>
      </w:r>
      <w:r w:rsidR="003A55EF">
        <w:rPr>
          <w:rFonts w:ascii="Times New Roman" w:hAnsi="Times New Roman"/>
          <w:bCs/>
          <w:sz w:val="24"/>
          <w:szCs w:val="24"/>
        </w:rPr>
        <w:t xml:space="preserve">spatial </w:t>
      </w:r>
      <w:r w:rsidRPr="00B530BB">
        <w:rPr>
          <w:rFonts w:ascii="Times New Roman" w:hAnsi="Times New Roman"/>
          <w:bCs/>
          <w:sz w:val="24"/>
          <w:szCs w:val="24"/>
        </w:rPr>
        <w:t>software and Monte</w:t>
      </w:r>
      <w:r w:rsidR="00410BFA">
        <w:rPr>
          <w:rFonts w:ascii="Times New Roman" w:hAnsi="Times New Roman"/>
          <w:bCs/>
          <w:sz w:val="24"/>
          <w:szCs w:val="24"/>
        </w:rPr>
        <w:t xml:space="preserve"> </w:t>
      </w:r>
      <w:r w:rsidRPr="00B530BB">
        <w:rPr>
          <w:rFonts w:ascii="Times New Roman" w:hAnsi="Times New Roman"/>
          <w:bCs/>
          <w:sz w:val="24"/>
          <w:szCs w:val="24"/>
        </w:rPr>
        <w:t xml:space="preserve">Carlo simulations can estimate the change in geographical coverage 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by </w:t>
      </w:r>
      <w:r w:rsidRPr="00B530BB">
        <w:rPr>
          <w:rFonts w:ascii="Times New Roman" w:hAnsi="Times New Roman"/>
          <w:bCs/>
          <w:sz w:val="24"/>
          <w:szCs w:val="24"/>
        </w:rPr>
        <w:t xml:space="preserve">the </w:t>
      </w:r>
      <w:r w:rsidR="00040C38">
        <w:rPr>
          <w:rFonts w:ascii="Times New Roman" w:hAnsi="Times New Roman"/>
          <w:bCs/>
          <w:sz w:val="24"/>
          <w:szCs w:val="24"/>
        </w:rPr>
        <w:t>PK</w:t>
      </w:r>
      <w:r w:rsidRPr="00B530BB">
        <w:rPr>
          <w:rFonts w:ascii="Times New Roman" w:hAnsi="Times New Roman"/>
          <w:bCs/>
          <w:sz w:val="24"/>
          <w:szCs w:val="24"/>
        </w:rPr>
        <w:t xml:space="preserve"> abattoir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 network</w:t>
      </w:r>
      <w:r w:rsidR="00FE6DC0" w:rsidRPr="00B530BB">
        <w:rPr>
          <w:rFonts w:ascii="Times New Roman" w:hAnsi="Times New Roman"/>
          <w:bCs/>
          <w:sz w:val="24"/>
          <w:szCs w:val="24"/>
        </w:rPr>
        <w:t xml:space="preserve"> to allow targeted interventions to </w:t>
      </w:r>
      <w:r w:rsidR="003A55EF">
        <w:rPr>
          <w:rFonts w:ascii="Times New Roman" w:hAnsi="Times New Roman"/>
          <w:bCs/>
          <w:sz w:val="24"/>
          <w:szCs w:val="24"/>
        </w:rPr>
        <w:t xml:space="preserve">safeguard strategically important abattoirs and therefore </w:t>
      </w:r>
      <w:r w:rsidR="00FE6DC0" w:rsidRPr="00B530BB">
        <w:rPr>
          <w:rFonts w:ascii="Times New Roman" w:hAnsi="Times New Roman"/>
          <w:bCs/>
          <w:sz w:val="24"/>
          <w:szCs w:val="24"/>
        </w:rPr>
        <w:t>offset the worst effects of abattoir closures</w:t>
      </w:r>
      <w:r w:rsidR="003A55EF">
        <w:rPr>
          <w:rFonts w:ascii="Times New Roman" w:hAnsi="Times New Roman"/>
          <w:bCs/>
          <w:sz w:val="24"/>
          <w:szCs w:val="24"/>
        </w:rPr>
        <w:t xml:space="preserve"> on livestock welfare, farm business viability and the resilience of the locally red meat supply chain</w:t>
      </w:r>
      <w:r w:rsidR="00A84869" w:rsidRPr="00B530BB">
        <w:rPr>
          <w:rFonts w:ascii="Times New Roman" w:hAnsi="Times New Roman"/>
          <w:bCs/>
          <w:sz w:val="24"/>
          <w:szCs w:val="24"/>
        </w:rPr>
        <w:t>.</w:t>
      </w:r>
    </w:p>
    <w:p w14:paraId="5DC194A4" w14:textId="3C9423E3" w:rsidR="00FE6DC0" w:rsidRPr="00B530BB" w:rsidRDefault="00FE6DC0" w:rsidP="002A0139">
      <w:pPr>
        <w:spacing w:before="240" w:after="24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530BB">
        <w:rPr>
          <w:rFonts w:ascii="Times New Roman" w:hAnsi="Times New Roman"/>
          <w:bCs/>
          <w:sz w:val="24"/>
          <w:szCs w:val="24"/>
        </w:rPr>
        <w:t>T</w:t>
      </w:r>
      <w:r w:rsidR="00A84869" w:rsidRPr="00B530BB">
        <w:rPr>
          <w:rFonts w:ascii="Times New Roman" w:hAnsi="Times New Roman"/>
          <w:bCs/>
          <w:sz w:val="24"/>
          <w:szCs w:val="24"/>
        </w:rPr>
        <w:t xml:space="preserve">o be of more practical </w:t>
      </w:r>
      <w:r w:rsidRPr="00B530BB">
        <w:rPr>
          <w:rFonts w:ascii="Times New Roman" w:hAnsi="Times New Roman"/>
          <w:bCs/>
          <w:sz w:val="24"/>
          <w:szCs w:val="24"/>
        </w:rPr>
        <w:t xml:space="preserve">help </w:t>
      </w:r>
      <w:r w:rsidR="003A55EF">
        <w:rPr>
          <w:rFonts w:ascii="Times New Roman" w:hAnsi="Times New Roman"/>
          <w:bCs/>
          <w:sz w:val="24"/>
          <w:szCs w:val="24"/>
        </w:rPr>
        <w:t xml:space="preserve">to </w:t>
      </w:r>
      <w:r w:rsidR="001F3F7B" w:rsidRPr="00B530BB">
        <w:rPr>
          <w:rFonts w:ascii="Times New Roman" w:hAnsi="Times New Roman"/>
          <w:bCs/>
          <w:sz w:val="24"/>
          <w:szCs w:val="24"/>
        </w:rPr>
        <w:t>target support</w:t>
      </w:r>
      <w:r w:rsidR="00A84869" w:rsidRPr="00B530BB">
        <w:rPr>
          <w:rFonts w:ascii="Times New Roman" w:hAnsi="Times New Roman"/>
          <w:bCs/>
          <w:sz w:val="24"/>
          <w:szCs w:val="24"/>
        </w:rPr>
        <w:t xml:space="preserve">, 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it would be necessary to replace </w:t>
      </w:r>
      <w:r w:rsidR="00A84869" w:rsidRPr="00B530BB">
        <w:rPr>
          <w:rFonts w:ascii="Times New Roman" w:hAnsi="Times New Roman"/>
          <w:bCs/>
          <w:sz w:val="24"/>
          <w:szCs w:val="24"/>
        </w:rPr>
        <w:t xml:space="preserve">the random removal of abattoirs by 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survey information </w:t>
      </w:r>
      <w:r w:rsidR="003A55EF">
        <w:rPr>
          <w:rFonts w:ascii="Times New Roman" w:hAnsi="Times New Roman"/>
          <w:bCs/>
          <w:sz w:val="24"/>
          <w:szCs w:val="24"/>
        </w:rPr>
        <w:t xml:space="preserve">to identify </w:t>
      </w:r>
      <w:r w:rsidR="001F3F7B" w:rsidRPr="00B530BB">
        <w:rPr>
          <w:rFonts w:ascii="Times New Roman" w:hAnsi="Times New Roman"/>
          <w:bCs/>
          <w:sz w:val="24"/>
          <w:szCs w:val="24"/>
        </w:rPr>
        <w:t>the likelihood of individual abattoirs closing</w:t>
      </w:r>
      <w:r w:rsidR="00A84869" w:rsidRPr="00B530BB">
        <w:rPr>
          <w:rFonts w:ascii="Times New Roman" w:hAnsi="Times New Roman"/>
          <w:bCs/>
          <w:sz w:val="24"/>
          <w:szCs w:val="24"/>
        </w:rPr>
        <w:t>.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  </w:t>
      </w:r>
      <w:r w:rsidR="003A55EF">
        <w:rPr>
          <w:rFonts w:ascii="Times New Roman" w:hAnsi="Times New Roman"/>
          <w:bCs/>
          <w:sz w:val="24"/>
          <w:szCs w:val="24"/>
        </w:rPr>
        <w:t xml:space="preserve">Coupled with more sophisticated spatial analysis, such </w:t>
      </w:r>
      <w:r w:rsidR="00A84869" w:rsidRPr="00B530BB">
        <w:rPr>
          <w:rFonts w:ascii="Times New Roman" w:hAnsi="Times New Roman"/>
          <w:bCs/>
          <w:sz w:val="24"/>
          <w:szCs w:val="24"/>
        </w:rPr>
        <w:t>additional information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 could be used </w:t>
      </w:r>
      <w:r w:rsidRPr="00B530BB">
        <w:rPr>
          <w:rFonts w:ascii="Times New Roman" w:hAnsi="Times New Roman"/>
          <w:bCs/>
          <w:sz w:val="24"/>
          <w:szCs w:val="24"/>
        </w:rPr>
        <w:t xml:space="preserve">to </w:t>
      </w:r>
      <w:r w:rsidR="00A84869" w:rsidRPr="00B530BB">
        <w:rPr>
          <w:rFonts w:ascii="Times New Roman" w:hAnsi="Times New Roman"/>
          <w:bCs/>
          <w:sz w:val="24"/>
          <w:szCs w:val="24"/>
        </w:rPr>
        <w:t xml:space="preserve">establish the relationships between the </w:t>
      </w:r>
      <w:r w:rsidR="003A55EF">
        <w:rPr>
          <w:rFonts w:ascii="Times New Roman" w:hAnsi="Times New Roman"/>
          <w:bCs/>
          <w:sz w:val="24"/>
          <w:szCs w:val="24"/>
        </w:rPr>
        <w:t xml:space="preserve">change in the </w:t>
      </w:r>
      <w:r w:rsidR="00A84869" w:rsidRPr="00B530BB">
        <w:rPr>
          <w:rFonts w:ascii="Times New Roman" w:hAnsi="Times New Roman"/>
          <w:bCs/>
          <w:sz w:val="24"/>
          <w:szCs w:val="24"/>
        </w:rPr>
        <w:t xml:space="preserve">number 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and location </w:t>
      </w:r>
      <w:r w:rsidR="00A84869" w:rsidRPr="00B530BB">
        <w:rPr>
          <w:rFonts w:ascii="Times New Roman" w:hAnsi="Times New Roman"/>
          <w:bCs/>
          <w:sz w:val="24"/>
          <w:szCs w:val="24"/>
        </w:rPr>
        <w:t xml:space="preserve">of </w:t>
      </w:r>
      <w:r w:rsidR="00040C38">
        <w:rPr>
          <w:rFonts w:ascii="Times New Roman" w:hAnsi="Times New Roman"/>
          <w:bCs/>
          <w:sz w:val="24"/>
          <w:szCs w:val="24"/>
        </w:rPr>
        <w:t>PK</w:t>
      </w:r>
      <w:r w:rsidR="00A84869" w:rsidRPr="00B530BB">
        <w:rPr>
          <w:rFonts w:ascii="Times New Roman" w:hAnsi="Times New Roman"/>
          <w:bCs/>
          <w:sz w:val="24"/>
          <w:szCs w:val="24"/>
        </w:rPr>
        <w:t xml:space="preserve"> abattoirs </w:t>
      </w:r>
      <w:r w:rsidR="003A55EF">
        <w:rPr>
          <w:rFonts w:ascii="Times New Roman" w:hAnsi="Times New Roman"/>
          <w:bCs/>
          <w:sz w:val="24"/>
          <w:szCs w:val="24"/>
        </w:rPr>
        <w:t>and</w:t>
      </w:r>
      <w:r w:rsidR="00A84869" w:rsidRPr="00B530BB">
        <w:rPr>
          <w:rFonts w:ascii="Times New Roman" w:hAnsi="Times New Roman"/>
          <w:bCs/>
          <w:sz w:val="24"/>
          <w:szCs w:val="24"/>
        </w:rPr>
        <w:t xml:space="preserve"> the distance and complexity of livestock journeys </w:t>
      </w:r>
      <w:r w:rsidR="00C83902" w:rsidRPr="00B530BB">
        <w:rPr>
          <w:rFonts w:ascii="Times New Roman" w:hAnsi="Times New Roman"/>
          <w:bCs/>
          <w:sz w:val="24"/>
          <w:szCs w:val="24"/>
        </w:rPr>
        <w:t xml:space="preserve">from farm </w:t>
      </w:r>
      <w:r w:rsidR="00A84869" w:rsidRPr="00B530BB">
        <w:rPr>
          <w:rFonts w:ascii="Times New Roman" w:hAnsi="Times New Roman"/>
          <w:bCs/>
          <w:sz w:val="24"/>
          <w:szCs w:val="24"/>
        </w:rPr>
        <w:t xml:space="preserve">to abattoir, the number of </w:t>
      </w:r>
      <w:r w:rsidR="00040C38">
        <w:rPr>
          <w:rFonts w:ascii="Times New Roman" w:hAnsi="Times New Roman"/>
          <w:bCs/>
          <w:sz w:val="24"/>
          <w:szCs w:val="24"/>
        </w:rPr>
        <w:t>PK</w:t>
      </w:r>
      <w:r w:rsidR="00DD47CD">
        <w:rPr>
          <w:rFonts w:ascii="Times New Roman" w:hAnsi="Times New Roman"/>
          <w:bCs/>
          <w:sz w:val="24"/>
          <w:szCs w:val="24"/>
        </w:rPr>
        <w:t>R</w:t>
      </w:r>
      <w:r w:rsidR="00A84869" w:rsidRPr="00B530BB">
        <w:rPr>
          <w:rFonts w:ascii="Times New Roman" w:hAnsi="Times New Roman"/>
          <w:bCs/>
          <w:sz w:val="24"/>
          <w:szCs w:val="24"/>
        </w:rPr>
        <w:t xml:space="preserve"> farmers who </w:t>
      </w:r>
      <w:r w:rsidR="001F3F7B" w:rsidRPr="00B530BB">
        <w:rPr>
          <w:rFonts w:ascii="Times New Roman" w:hAnsi="Times New Roman"/>
          <w:bCs/>
          <w:sz w:val="24"/>
          <w:szCs w:val="24"/>
        </w:rPr>
        <w:t>continue to supply the local-</w:t>
      </w:r>
      <w:r w:rsidR="00FB2CAB" w:rsidRPr="00B530BB">
        <w:rPr>
          <w:rFonts w:ascii="Times New Roman" w:hAnsi="Times New Roman"/>
          <w:bCs/>
          <w:sz w:val="24"/>
          <w:szCs w:val="24"/>
        </w:rPr>
        <w:t>finished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 and -slaughtered supply chain</w:t>
      </w:r>
      <w:r w:rsidR="00DD47CD">
        <w:rPr>
          <w:rFonts w:ascii="Times New Roman" w:hAnsi="Times New Roman"/>
          <w:bCs/>
          <w:sz w:val="24"/>
          <w:szCs w:val="24"/>
        </w:rPr>
        <w:t>,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 and</w:t>
      </w:r>
      <w:r w:rsidR="00DD47CD">
        <w:rPr>
          <w:rFonts w:ascii="Times New Roman" w:hAnsi="Times New Roman"/>
          <w:bCs/>
          <w:sz w:val="24"/>
          <w:szCs w:val="24"/>
        </w:rPr>
        <w:t>,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 t</w:t>
      </w:r>
      <w:r w:rsidR="00A84869" w:rsidRPr="00B530BB">
        <w:rPr>
          <w:rFonts w:ascii="Times New Roman" w:hAnsi="Times New Roman"/>
          <w:bCs/>
          <w:sz w:val="24"/>
          <w:szCs w:val="24"/>
        </w:rPr>
        <w:t>herefore</w:t>
      </w:r>
      <w:r w:rsidR="00DD47CD">
        <w:rPr>
          <w:rFonts w:ascii="Times New Roman" w:hAnsi="Times New Roman"/>
          <w:bCs/>
          <w:sz w:val="24"/>
          <w:szCs w:val="24"/>
        </w:rPr>
        <w:t>,</w:t>
      </w:r>
      <w:r w:rsidR="00A84869" w:rsidRPr="00B530BB">
        <w:rPr>
          <w:rFonts w:ascii="Times New Roman" w:hAnsi="Times New Roman"/>
          <w:bCs/>
          <w:sz w:val="24"/>
          <w:szCs w:val="24"/>
        </w:rPr>
        <w:t xml:space="preserve"> the impact</w:t>
      </w:r>
      <w:r w:rsidR="00DD47CD">
        <w:rPr>
          <w:rFonts w:ascii="Times New Roman" w:hAnsi="Times New Roman"/>
          <w:bCs/>
          <w:sz w:val="24"/>
          <w:szCs w:val="24"/>
        </w:rPr>
        <w:t>s</w:t>
      </w:r>
      <w:r w:rsidR="00A84869" w:rsidRPr="00B530BB">
        <w:rPr>
          <w:rFonts w:ascii="Times New Roman" w:hAnsi="Times New Roman"/>
          <w:bCs/>
          <w:sz w:val="24"/>
          <w:szCs w:val="24"/>
        </w:rPr>
        <w:t xml:space="preserve"> of </w:t>
      </w:r>
      <w:r w:rsidR="001F3F7B" w:rsidRPr="00B530BB">
        <w:rPr>
          <w:rFonts w:ascii="Times New Roman" w:hAnsi="Times New Roman"/>
          <w:bCs/>
          <w:sz w:val="24"/>
          <w:szCs w:val="24"/>
        </w:rPr>
        <w:t xml:space="preserve">abattoir closures on </w:t>
      </w:r>
      <w:r w:rsidR="00A84869" w:rsidRPr="00B530BB">
        <w:rPr>
          <w:rFonts w:ascii="Times New Roman" w:hAnsi="Times New Roman"/>
          <w:bCs/>
          <w:sz w:val="24"/>
          <w:szCs w:val="24"/>
        </w:rPr>
        <w:t>the size of th</w:t>
      </w:r>
      <w:r w:rsidR="001F3F7B" w:rsidRPr="00B530BB">
        <w:rPr>
          <w:rFonts w:ascii="Times New Roman" w:hAnsi="Times New Roman"/>
          <w:bCs/>
          <w:sz w:val="24"/>
          <w:szCs w:val="24"/>
        </w:rPr>
        <w:t>at supply chain</w:t>
      </w:r>
      <w:r w:rsidR="00A84869" w:rsidRPr="00B530BB">
        <w:rPr>
          <w:rFonts w:ascii="Times New Roman" w:hAnsi="Times New Roman"/>
          <w:bCs/>
          <w:sz w:val="24"/>
          <w:szCs w:val="24"/>
        </w:rPr>
        <w:t>.</w:t>
      </w:r>
    </w:p>
    <w:p w14:paraId="774E787B" w14:textId="75A533CF" w:rsidR="008B444C" w:rsidRPr="00B530BB" w:rsidRDefault="008B444C" w:rsidP="002A0139">
      <w:pPr>
        <w:spacing w:before="240" w:after="240" w:line="360" w:lineRule="auto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 w:rsidRPr="00B530BB">
        <w:rPr>
          <w:rFonts w:ascii="Times New Roman" w:hAnsi="Times New Roman"/>
          <w:bCs/>
          <w:iCs/>
          <w:noProof/>
          <w:sz w:val="24"/>
          <w:szCs w:val="24"/>
        </w:rPr>
        <w:br w:type="page"/>
      </w:r>
    </w:p>
    <w:p w14:paraId="1870FE92" w14:textId="598F9BC6" w:rsidR="00954336" w:rsidRPr="00B530BB" w:rsidRDefault="00954336" w:rsidP="002A0139">
      <w:pPr>
        <w:pStyle w:val="EndNoteBibliography"/>
        <w:spacing w:line="360" w:lineRule="auto"/>
        <w:ind w:left="720" w:hanging="720"/>
        <w:rPr>
          <w:rFonts w:ascii="Times New Roman" w:hAnsi="Times New Roman" w:cs="Times New Roman"/>
          <w:b/>
          <w:iCs/>
          <w:sz w:val="24"/>
          <w:szCs w:val="24"/>
        </w:rPr>
      </w:pPr>
      <w:r w:rsidRPr="00B530BB">
        <w:rPr>
          <w:rFonts w:ascii="Times New Roman" w:hAnsi="Times New Roman" w:cs="Times New Roman"/>
          <w:b/>
          <w:iCs/>
          <w:sz w:val="24"/>
          <w:szCs w:val="24"/>
        </w:rPr>
        <w:lastRenderedPageBreak/>
        <w:t>References</w:t>
      </w:r>
    </w:p>
    <w:p w14:paraId="7557DC7C" w14:textId="77777777" w:rsidR="00F500E0" w:rsidRPr="00B530BB" w:rsidRDefault="00F500E0" w:rsidP="002A0139">
      <w:pPr>
        <w:pStyle w:val="EndNoteBibliography"/>
        <w:spacing w:line="360" w:lineRule="auto"/>
        <w:ind w:left="720" w:hanging="72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ACAA55E" w14:textId="77777777" w:rsidR="008B2881" w:rsidRPr="008B2881" w:rsidRDefault="00954336" w:rsidP="008B2881">
      <w:pPr>
        <w:pStyle w:val="EndNoteBibliography"/>
        <w:ind w:left="720" w:hanging="720"/>
      </w:pPr>
      <w:r w:rsidRPr="00B530BB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B530BB">
        <w:rPr>
          <w:rFonts w:ascii="Times New Roman" w:hAnsi="Times New Roman" w:cs="Times New Roman"/>
          <w:b/>
          <w:i/>
          <w:sz w:val="24"/>
          <w:szCs w:val="24"/>
        </w:rPr>
        <w:instrText xml:space="preserve"> ADDIN EN.REFLIST </w:instrText>
      </w:r>
      <w:r w:rsidRPr="00B530BB"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  <w:r w:rsidR="008B2881" w:rsidRPr="008B2881">
        <w:t>APGAW 2020. The Future for Small Abattoirs in the UK.  Report on an inquiry into small red meat abattoir provision. https://apgaw.org/wp-content/uploads/2020/06/The-Future-for-Small-Abattoirs-in-the-UK.pdf [Accessed June 2020].</w:t>
      </w:r>
    </w:p>
    <w:p w14:paraId="5C7691B7" w14:textId="77777777" w:rsidR="008B2881" w:rsidRPr="008B2881" w:rsidRDefault="008B2881" w:rsidP="008B2881">
      <w:pPr>
        <w:pStyle w:val="EndNoteBibliography"/>
        <w:ind w:left="720" w:hanging="720"/>
      </w:pPr>
      <w:r w:rsidRPr="008B2881">
        <w:t>BABB, A. &amp; KENNEDY, E. 2012. Mobile slaughter unit feasibility study. https://www.faa.gov.nl.ca/agrifoods/animals/livestock/pdf/slaughter_unit.pdf [accessed December 2019].</w:t>
      </w:r>
    </w:p>
    <w:p w14:paraId="175EFE2F" w14:textId="77777777" w:rsidR="008B2881" w:rsidRPr="008B2881" w:rsidRDefault="008B2881" w:rsidP="008B2881">
      <w:pPr>
        <w:pStyle w:val="EndNoteBibliography"/>
        <w:ind w:left="720" w:hanging="720"/>
      </w:pPr>
      <w:r w:rsidRPr="008B2881">
        <w:t>BROWN, J. L., MORALES, V. &amp; SUMMERS, K. 2009. Home range size and location in relation to reproductive resources in poison frogs (Dendrobatidae): a Monte Carlo approach using GIS data.</w:t>
      </w:r>
      <w:r w:rsidRPr="008B2881">
        <w:rPr>
          <w:i/>
        </w:rPr>
        <w:t xml:space="preserve"> Animal Behaviour,</w:t>
      </w:r>
      <w:r w:rsidRPr="008B2881">
        <w:t xml:space="preserve"> 77</w:t>
      </w:r>
      <w:r w:rsidRPr="008B2881">
        <w:rPr>
          <w:b/>
        </w:rPr>
        <w:t>,</w:t>
      </w:r>
      <w:r w:rsidRPr="008B2881">
        <w:t xml:space="preserve"> 547-554.</w:t>
      </w:r>
    </w:p>
    <w:p w14:paraId="5BF0EEA7" w14:textId="77777777" w:rsidR="008B2881" w:rsidRPr="008B2881" w:rsidRDefault="008B2881" w:rsidP="008B2881">
      <w:pPr>
        <w:pStyle w:val="EndNoteBibliography"/>
        <w:ind w:left="720" w:hanging="720"/>
      </w:pPr>
      <w:r w:rsidRPr="008B2881">
        <w:t xml:space="preserve">CAMPAIGN TO PROTECT RURAL ENGLAND 2012. From field to fork: The value of England’s local food webs </w:t>
      </w:r>
    </w:p>
    <w:p w14:paraId="790446AB" w14:textId="77777777" w:rsidR="008B2881" w:rsidRPr="008B2881" w:rsidRDefault="008B2881" w:rsidP="008B2881">
      <w:pPr>
        <w:pStyle w:val="EndNoteBibliography"/>
        <w:ind w:left="720" w:hanging="720"/>
      </w:pPr>
      <w:r w:rsidRPr="008B2881">
        <w:t xml:space="preserve">DEFRA. 2021. </w:t>
      </w:r>
      <w:r w:rsidRPr="008B2881">
        <w:rPr>
          <w:i/>
        </w:rPr>
        <w:t xml:space="preserve">Improvements to animal welfare in transport </w:t>
      </w:r>
      <w:r w:rsidRPr="008B2881">
        <w:t>[Online]. London. Available: https://consult.defra.gov.uk/transforming-farm-animal-health-and-welfare-team/improvements-to-animal-welfare-in-transport/ [Accessed May 2021].</w:t>
      </w:r>
    </w:p>
    <w:p w14:paraId="15434855" w14:textId="77777777" w:rsidR="008B2881" w:rsidRPr="008B2881" w:rsidRDefault="008B2881" w:rsidP="008B2881">
      <w:pPr>
        <w:pStyle w:val="EndNoteBibliography"/>
        <w:ind w:left="720" w:hanging="720"/>
      </w:pPr>
      <w:r w:rsidRPr="008B2881">
        <w:t xml:space="preserve">EFRA 2021. Moving animals across borders. </w:t>
      </w:r>
      <w:r w:rsidRPr="008B2881">
        <w:rPr>
          <w:i/>
        </w:rPr>
        <w:t>In:</w:t>
      </w:r>
      <w:r w:rsidRPr="008B2881">
        <w:t xml:space="preserve"> ENVIRONMENT FOOD AND RURAL AFFAIRS COMMITTEE (ed.). https://committees.parliament.uk/publications/7464/documents/78318/default/ (accessed January 2022): House of Commons (HC 79).</w:t>
      </w:r>
    </w:p>
    <w:p w14:paraId="1B41D20A" w14:textId="77777777" w:rsidR="008B2881" w:rsidRPr="008B2881" w:rsidRDefault="008B2881" w:rsidP="008B2881">
      <w:pPr>
        <w:pStyle w:val="EndNoteBibliography"/>
        <w:ind w:left="720" w:hanging="720"/>
      </w:pPr>
      <w:r w:rsidRPr="008B2881">
        <w:t>FISHER, D., BENNAGE, J., DUNLOP, B., ROSE, A. &amp; ELWOOD, S. 2004. Mobile Slaughter Unit for Wyoming: Assessment of Need and Values. https://articles.extension.org/sites/default/files/Mobile%20Slaughter%20Unit%20for%20Wyoming.pdf  [accessed December 2019]: Wyoming Sheridan College.</w:t>
      </w:r>
    </w:p>
    <w:p w14:paraId="0A32386C" w14:textId="77777777" w:rsidR="008B2881" w:rsidRPr="008B2881" w:rsidRDefault="008B2881" w:rsidP="008B2881">
      <w:pPr>
        <w:pStyle w:val="EndNoteBibliography"/>
        <w:ind w:left="720" w:hanging="720"/>
      </w:pPr>
      <w:r w:rsidRPr="008B2881">
        <w:t>FRANKS, J. R. &amp; PEDEN, R. 2021. An economic analysis of the role and viability of small abattoirs in the red meat supply chain. https://www.princescountrysidefund.org.uk/our-impact/our-research/all-on-the-table/ [Accessed May 2022].</w:t>
      </w:r>
    </w:p>
    <w:p w14:paraId="1D846578" w14:textId="77777777" w:rsidR="008B2881" w:rsidRPr="008B2881" w:rsidRDefault="008B2881" w:rsidP="008B2881">
      <w:pPr>
        <w:pStyle w:val="EndNoteBibliography"/>
        <w:ind w:left="720" w:hanging="720"/>
      </w:pPr>
      <w:r w:rsidRPr="008B2881">
        <w:t>ICF CONSULTING SERVICES 2016. Rural tourism and local food and drink. Final report to the Department for Environment, Food and Rural Affairs.</w:t>
      </w:r>
    </w:p>
    <w:p w14:paraId="1130487D" w14:textId="77777777" w:rsidR="008B2881" w:rsidRPr="008B2881" w:rsidRDefault="008B2881" w:rsidP="008B2881">
      <w:pPr>
        <w:pStyle w:val="EndNoteBibliography"/>
        <w:ind w:left="720" w:hanging="720"/>
      </w:pPr>
      <w:r w:rsidRPr="008B2881">
        <w:t xml:space="preserve">JENSEN, J. R. &amp; JENSEN, R. R. 2013. </w:t>
      </w:r>
      <w:r w:rsidRPr="008B2881">
        <w:rPr>
          <w:i/>
        </w:rPr>
        <w:t xml:space="preserve">Introductory Geographic Information Systems, </w:t>
      </w:r>
      <w:r w:rsidRPr="008B2881">
        <w:t>https://www.pearson.com/uk/educators/higher-education-educators/program/Jensen-Introductory-Geographic-Information-Systems-International-Edition/PGM1023104.html (Accessed: 7 December 2021), Pearson.</w:t>
      </w:r>
    </w:p>
    <w:p w14:paraId="56DDAFD8" w14:textId="77777777" w:rsidR="008B2881" w:rsidRPr="008B2881" w:rsidRDefault="008B2881" w:rsidP="008B2881">
      <w:pPr>
        <w:pStyle w:val="EndNoteBibliography"/>
        <w:ind w:left="720" w:hanging="720"/>
      </w:pPr>
      <w:r w:rsidRPr="008B2881">
        <w:t>KENNARD, B. &amp; YOUNG, R. 2018. A good life and a good death: re-localising farm animal slaughter. https://sustainablefoodtrust.org/articles/a-good-life-and-a-good-death-re-localising-farm-animal-slaughter/ [Accessed January 2021]: Sustainable Food Trust.</w:t>
      </w:r>
    </w:p>
    <w:p w14:paraId="21FA51A5" w14:textId="77777777" w:rsidR="008B2881" w:rsidRPr="008B2881" w:rsidRDefault="008B2881" w:rsidP="008B2881">
      <w:pPr>
        <w:pStyle w:val="EndNoteBibliography"/>
        <w:ind w:left="720" w:hanging="720"/>
      </w:pPr>
      <w:r w:rsidRPr="008B2881">
        <w:t xml:space="preserve">LAMBOOIJ, E., PUISTER-JANSEN, L., GRAVEN, W., BEMELMAN, Y. &amp; HOSTE, R. 2011. Haalbaarheid mobiel slachthuis en uitsnijderij. Feasibility of mobile slaughter and cutting carcasses. </w:t>
      </w:r>
    </w:p>
    <w:p w14:paraId="1E936930" w14:textId="77777777" w:rsidR="008B2881" w:rsidRPr="008B2881" w:rsidRDefault="008B2881" w:rsidP="008B2881">
      <w:pPr>
        <w:pStyle w:val="EndNoteBibliography"/>
        <w:ind w:left="720" w:hanging="720"/>
      </w:pPr>
      <w:r w:rsidRPr="008B2881">
        <w:t>https://www.wur.nl/en/Research-Results/Research-Institutes/livestock-research.htm [accessed December 2019]: Livestock Research, Wageningen. Report 460.  ISSN 1570-8616.</w:t>
      </w:r>
    </w:p>
    <w:p w14:paraId="0C2920DD" w14:textId="77777777" w:rsidR="008B2881" w:rsidRPr="008B2881" w:rsidRDefault="008B2881" w:rsidP="008B2881">
      <w:pPr>
        <w:pStyle w:val="EndNoteBibliography"/>
        <w:ind w:left="720" w:hanging="720"/>
      </w:pPr>
      <w:r w:rsidRPr="008B2881">
        <w:t>MENZIES, B., WOOD, D. &amp; DIMAMBRO, M. 2020. Assessing the viability and sustainability of mobile abattoirs in Scotland. https://www.gov.scot/publications/assessing-viability-sustainability-mobile-abattoirs-scotland/pages/15/ [accessed November 2021]: Enscape Consulting Ltd report for Scottish Government Social Research.</w:t>
      </w:r>
    </w:p>
    <w:p w14:paraId="2DBA572E" w14:textId="77777777" w:rsidR="008B2881" w:rsidRPr="008B2881" w:rsidRDefault="008B2881" w:rsidP="008B2881">
      <w:pPr>
        <w:pStyle w:val="EndNoteBibliography"/>
        <w:ind w:left="720" w:hanging="720"/>
      </w:pPr>
      <w:r w:rsidRPr="008B2881">
        <w:t xml:space="preserve">PARK, H. J., LEE, J. H. &amp; WOO, I. 2013. Assessment of rainfall-induced shallow landslide susceptibility using a GIS-based probabilistic approach. </w:t>
      </w:r>
      <w:r w:rsidRPr="008B2881">
        <w:rPr>
          <w:i/>
        </w:rPr>
        <w:t>Engineering Geology,</w:t>
      </w:r>
      <w:r w:rsidRPr="008B2881">
        <w:t xml:space="preserve"> 161</w:t>
      </w:r>
      <w:r w:rsidRPr="008B2881">
        <w:rPr>
          <w:b/>
        </w:rPr>
        <w:t>,</w:t>
      </w:r>
      <w:r w:rsidRPr="008B2881">
        <w:t xml:space="preserve"> 1-15.</w:t>
      </w:r>
    </w:p>
    <w:p w14:paraId="2CDA268A" w14:textId="77777777" w:rsidR="008B2881" w:rsidRPr="008B2881" w:rsidRDefault="008B2881" w:rsidP="008B2881">
      <w:pPr>
        <w:pStyle w:val="EndNoteBibliography"/>
        <w:ind w:left="720" w:hanging="720"/>
      </w:pPr>
      <w:r w:rsidRPr="008B2881">
        <w:t xml:space="preserve">PEARSON, D., HENRYKS, J., TROTT, A., JONES, P., PARKER, G., DUMARESQ, D. &amp; DYBALL, R. 2011. Local food: understanding consumer motivations in innovative retail formats. </w:t>
      </w:r>
      <w:r w:rsidRPr="008B2881">
        <w:rPr>
          <w:i/>
        </w:rPr>
        <w:t>British Food Journal,</w:t>
      </w:r>
      <w:r w:rsidRPr="008B2881">
        <w:t xml:space="preserve"> 113</w:t>
      </w:r>
      <w:r w:rsidRPr="008B2881">
        <w:rPr>
          <w:b/>
        </w:rPr>
        <w:t>,</w:t>
      </w:r>
      <w:r w:rsidRPr="008B2881">
        <w:t xml:space="preserve"> 886-899.</w:t>
      </w:r>
    </w:p>
    <w:p w14:paraId="3947122A" w14:textId="77777777" w:rsidR="008B2881" w:rsidRPr="008B2881" w:rsidRDefault="008B2881" w:rsidP="008B2881">
      <w:pPr>
        <w:pStyle w:val="EndNoteBibliography"/>
        <w:ind w:left="720" w:hanging="720"/>
      </w:pPr>
      <w:r w:rsidRPr="008B2881">
        <w:lastRenderedPageBreak/>
        <w:t xml:space="preserve">TOMA-DANILA, D. 2018. A GIS framework for evaluating the implications of urban road network failure due to earthquakes: Bucharest (Romania) case study. </w:t>
      </w:r>
      <w:r w:rsidRPr="008B2881">
        <w:rPr>
          <w:i/>
        </w:rPr>
        <w:t>Natural Hazards,</w:t>
      </w:r>
      <w:r w:rsidRPr="008B2881">
        <w:t xml:space="preserve"> 93</w:t>
      </w:r>
      <w:r w:rsidRPr="008B2881">
        <w:rPr>
          <w:b/>
        </w:rPr>
        <w:t>,</w:t>
      </w:r>
      <w:r w:rsidRPr="008B2881">
        <w:t xml:space="preserve"> 97-111.</w:t>
      </w:r>
    </w:p>
    <w:p w14:paraId="25C2B8F7" w14:textId="77777777" w:rsidR="008B2881" w:rsidRPr="008B2881" w:rsidRDefault="008B2881" w:rsidP="008B2881">
      <w:pPr>
        <w:pStyle w:val="EndNoteBibliography"/>
        <w:ind w:left="720" w:hanging="720"/>
      </w:pPr>
      <w:r w:rsidRPr="008B2881">
        <w:t xml:space="preserve">WOOD, R. 2019. Feasibility of mobile abattoirs to be investigated. </w:t>
      </w:r>
      <w:r w:rsidRPr="008B2881">
        <w:rPr>
          <w:i/>
        </w:rPr>
        <w:t>The Herald, 24th January</w:t>
      </w:r>
      <w:r w:rsidRPr="008B2881">
        <w:t>.</w:t>
      </w:r>
    </w:p>
    <w:p w14:paraId="3685FE5D" w14:textId="7690A2CE" w:rsidR="00EC40CC" w:rsidRPr="00B530BB" w:rsidRDefault="00954336" w:rsidP="002A0139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B530BB">
        <w:rPr>
          <w:rFonts w:ascii="Times New Roman" w:hAnsi="Times New Roman"/>
          <w:b/>
          <w:i/>
          <w:sz w:val="24"/>
          <w:szCs w:val="24"/>
        </w:rPr>
        <w:fldChar w:fldCharType="end"/>
      </w:r>
    </w:p>
    <w:sectPr w:rsidR="00EC40CC" w:rsidRPr="00B530BB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B046" w14:textId="77777777" w:rsidR="00836179" w:rsidRDefault="00836179" w:rsidP="008852F6">
      <w:pPr>
        <w:spacing w:line="240" w:lineRule="auto"/>
      </w:pPr>
      <w:r>
        <w:separator/>
      </w:r>
    </w:p>
  </w:endnote>
  <w:endnote w:type="continuationSeparator" w:id="0">
    <w:p w14:paraId="2A6214D9" w14:textId="77777777" w:rsidR="00836179" w:rsidRDefault="00836179" w:rsidP="00885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248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6F359" w14:textId="77777777" w:rsidR="00661334" w:rsidRDefault="006613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29DAF" w14:textId="77777777" w:rsidR="00661334" w:rsidRDefault="00661334">
    <w:pPr>
      <w:pStyle w:val="Footer"/>
    </w:pPr>
  </w:p>
  <w:p w14:paraId="32978309" w14:textId="77777777" w:rsidR="00661334" w:rsidRDefault="006613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3A61" w14:textId="77777777" w:rsidR="00836179" w:rsidRDefault="00836179" w:rsidP="008852F6">
      <w:pPr>
        <w:spacing w:line="240" w:lineRule="auto"/>
      </w:pPr>
      <w:r>
        <w:separator/>
      </w:r>
    </w:p>
  </w:footnote>
  <w:footnote w:type="continuationSeparator" w:id="0">
    <w:p w14:paraId="1E1FF391" w14:textId="77777777" w:rsidR="00836179" w:rsidRDefault="00836179" w:rsidP="008852F6">
      <w:pPr>
        <w:spacing w:line="240" w:lineRule="auto"/>
      </w:pPr>
      <w:r>
        <w:continuationSeparator/>
      </w:r>
    </w:p>
  </w:footnote>
  <w:footnote w:id="1">
    <w:p w14:paraId="479CA9FA" w14:textId="4EEAB46B" w:rsidR="00DC7270" w:rsidRPr="001E2056" w:rsidRDefault="00DC7270" w:rsidP="00DC7270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1E205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E2056">
        <w:rPr>
          <w:rFonts w:ascii="Times New Roman" w:hAnsi="Times New Roman" w:cs="Times New Roman"/>
          <w:sz w:val="22"/>
          <w:szCs w:val="22"/>
        </w:rPr>
        <w:t xml:space="preserve"> </w:t>
      </w:r>
      <w:r w:rsidR="00FC531B" w:rsidRPr="001E2056">
        <w:rPr>
          <w:rFonts w:ascii="Times New Roman" w:eastAsiaTheme="minorEastAsia" w:hAnsi="Times New Roman" w:cs="Times New Roman"/>
          <w:color w:val="000000" w:themeColor="text1"/>
          <w:kern w:val="24"/>
          <w:sz w:val="22"/>
          <w:szCs w:val="22"/>
        </w:rPr>
        <w:t xml:space="preserve"> </w:t>
      </w:r>
      <w:r w:rsidR="00E55D84" w:rsidRPr="001E205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 small abattoir is defined in this report as </w:t>
      </w:r>
      <w:r w:rsidR="00FC531B" w:rsidRPr="001E205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having a throughput below 5</w:t>
      </w:r>
      <w:r w:rsidR="001E205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,000</w:t>
      </w:r>
      <w:r w:rsidR="00FC531B" w:rsidRPr="001E205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livestock units/yr., </w:t>
      </w:r>
      <w:r w:rsidR="00E55D84" w:rsidRPr="001E205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where </w:t>
      </w:r>
      <w:r w:rsidRPr="001E2056">
        <w:rPr>
          <w:rFonts w:ascii="Times New Roman" w:hAnsi="Times New Roman" w:cs="Times New Roman"/>
          <w:sz w:val="24"/>
          <w:szCs w:val="24"/>
        </w:rPr>
        <w:t xml:space="preserve">1 livestock unit (LSU) </w:t>
      </w:r>
      <w:r w:rsidR="001E2056">
        <w:rPr>
          <w:rFonts w:ascii="Times New Roman" w:hAnsi="Times New Roman" w:cs="Times New Roman"/>
          <w:sz w:val="24"/>
          <w:szCs w:val="24"/>
        </w:rPr>
        <w:t>is</w:t>
      </w:r>
      <w:r w:rsidRPr="001E2056">
        <w:rPr>
          <w:rFonts w:ascii="Times New Roman" w:hAnsi="Times New Roman" w:cs="Times New Roman"/>
          <w:sz w:val="24"/>
          <w:szCs w:val="24"/>
        </w:rPr>
        <w:t xml:space="preserve"> 1 cattle</w:t>
      </w:r>
      <w:r w:rsidR="001E2056">
        <w:rPr>
          <w:rFonts w:ascii="Times New Roman" w:hAnsi="Times New Roman" w:cs="Times New Roman"/>
          <w:sz w:val="24"/>
          <w:szCs w:val="24"/>
        </w:rPr>
        <w:t>,</w:t>
      </w:r>
      <w:r w:rsidRPr="001E2056">
        <w:rPr>
          <w:rFonts w:ascii="Times New Roman" w:hAnsi="Times New Roman" w:cs="Times New Roman"/>
          <w:sz w:val="24"/>
          <w:szCs w:val="24"/>
        </w:rPr>
        <w:t xml:space="preserve"> or 2 pigs</w:t>
      </w:r>
      <w:r w:rsidR="00FC531B" w:rsidRPr="001E2056">
        <w:rPr>
          <w:rFonts w:ascii="Times New Roman" w:hAnsi="Times New Roman" w:cs="Times New Roman"/>
          <w:sz w:val="24"/>
          <w:szCs w:val="24"/>
        </w:rPr>
        <w:t>,</w:t>
      </w:r>
      <w:r w:rsidRPr="001E2056">
        <w:rPr>
          <w:rFonts w:ascii="Times New Roman" w:hAnsi="Times New Roman" w:cs="Times New Roman"/>
          <w:sz w:val="24"/>
          <w:szCs w:val="24"/>
        </w:rPr>
        <w:t xml:space="preserve"> or 5 sheep</w:t>
      </w:r>
      <w:r w:rsidR="00FC531B" w:rsidRPr="001E2056">
        <w:rPr>
          <w:rFonts w:ascii="Times New Roman" w:hAnsi="Times New Roman" w:cs="Times New Roman"/>
          <w:sz w:val="24"/>
          <w:szCs w:val="24"/>
        </w:rPr>
        <w:t>,</w:t>
      </w:r>
      <w:r w:rsidRPr="001E2056">
        <w:rPr>
          <w:rFonts w:ascii="Times New Roman" w:hAnsi="Times New Roman" w:cs="Times New Roman"/>
          <w:sz w:val="24"/>
          <w:szCs w:val="24"/>
        </w:rPr>
        <w:t xml:space="preserve"> or 3 deer.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602" w:hanging="483"/>
      </w:pPr>
      <w:rPr>
        <w:b w:val="0"/>
        <w:bCs w:val="0"/>
        <w:w w:val="103"/>
      </w:rPr>
    </w:lvl>
    <w:lvl w:ilvl="1">
      <w:numFmt w:val="bullet"/>
      <w:lvlText w:val="•"/>
      <w:lvlJc w:val="left"/>
      <w:pPr>
        <w:ind w:left="606" w:hanging="352"/>
      </w:pPr>
      <w:rPr>
        <w:rFonts w:ascii="Arial" w:hAnsi="Arial" w:cs="Arial"/>
        <w:b w:val="0"/>
        <w:bCs w:val="0"/>
        <w:color w:val="010101"/>
        <w:w w:val="104"/>
        <w:sz w:val="19"/>
        <w:szCs w:val="19"/>
      </w:rPr>
    </w:lvl>
    <w:lvl w:ilvl="2">
      <w:numFmt w:val="bullet"/>
      <w:lvlText w:val="•"/>
      <w:lvlJc w:val="left"/>
      <w:pPr>
        <w:ind w:left="2725" w:hanging="352"/>
      </w:pPr>
    </w:lvl>
    <w:lvl w:ilvl="3">
      <w:numFmt w:val="bullet"/>
      <w:lvlText w:val="•"/>
      <w:lvlJc w:val="left"/>
      <w:pPr>
        <w:ind w:left="3787" w:hanging="352"/>
      </w:pPr>
    </w:lvl>
    <w:lvl w:ilvl="4">
      <w:numFmt w:val="bullet"/>
      <w:lvlText w:val="•"/>
      <w:lvlJc w:val="left"/>
      <w:pPr>
        <w:ind w:left="4850" w:hanging="352"/>
      </w:pPr>
    </w:lvl>
    <w:lvl w:ilvl="5">
      <w:numFmt w:val="bullet"/>
      <w:lvlText w:val="•"/>
      <w:lvlJc w:val="left"/>
      <w:pPr>
        <w:ind w:left="5912" w:hanging="352"/>
      </w:pPr>
    </w:lvl>
    <w:lvl w:ilvl="6">
      <w:numFmt w:val="bullet"/>
      <w:lvlText w:val="•"/>
      <w:lvlJc w:val="left"/>
      <w:pPr>
        <w:ind w:left="6975" w:hanging="352"/>
      </w:pPr>
    </w:lvl>
    <w:lvl w:ilvl="7">
      <w:numFmt w:val="bullet"/>
      <w:lvlText w:val="•"/>
      <w:lvlJc w:val="left"/>
      <w:pPr>
        <w:ind w:left="8037" w:hanging="352"/>
      </w:pPr>
    </w:lvl>
    <w:lvl w:ilvl="8">
      <w:numFmt w:val="bullet"/>
      <w:lvlText w:val="•"/>
      <w:lvlJc w:val="left"/>
      <w:pPr>
        <w:ind w:left="9100" w:hanging="352"/>
      </w:pPr>
    </w:lvl>
  </w:abstractNum>
  <w:abstractNum w:abstractNumId="1" w15:restartNumberingAfterBreak="0">
    <w:nsid w:val="05D15890"/>
    <w:multiLevelType w:val="multilevel"/>
    <w:tmpl w:val="AD4CE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4925FD"/>
    <w:multiLevelType w:val="hybridMultilevel"/>
    <w:tmpl w:val="DEF61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45E3"/>
    <w:multiLevelType w:val="hybridMultilevel"/>
    <w:tmpl w:val="817CFA04"/>
    <w:lvl w:ilvl="0" w:tplc="6C80DF0C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259048C"/>
    <w:multiLevelType w:val="hybridMultilevel"/>
    <w:tmpl w:val="0EF892F8"/>
    <w:lvl w:ilvl="0" w:tplc="E5DA5A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F797D"/>
    <w:multiLevelType w:val="hybridMultilevel"/>
    <w:tmpl w:val="5E0A1A08"/>
    <w:lvl w:ilvl="0" w:tplc="E5DA5A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A108E"/>
    <w:multiLevelType w:val="hybridMultilevel"/>
    <w:tmpl w:val="9BD82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30B26"/>
    <w:multiLevelType w:val="multilevel"/>
    <w:tmpl w:val="E0884A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714181"/>
    <w:multiLevelType w:val="hybridMultilevel"/>
    <w:tmpl w:val="89365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22A4D"/>
    <w:multiLevelType w:val="hybridMultilevel"/>
    <w:tmpl w:val="D41A978E"/>
    <w:lvl w:ilvl="0" w:tplc="6F62647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3492C"/>
    <w:multiLevelType w:val="multilevel"/>
    <w:tmpl w:val="D98A31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874859"/>
    <w:multiLevelType w:val="hybridMultilevel"/>
    <w:tmpl w:val="4DAC40A2"/>
    <w:lvl w:ilvl="0" w:tplc="122EDB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94312"/>
    <w:multiLevelType w:val="hybridMultilevel"/>
    <w:tmpl w:val="7A8A9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92FFF"/>
    <w:multiLevelType w:val="hybridMultilevel"/>
    <w:tmpl w:val="164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94EC1"/>
    <w:multiLevelType w:val="hybridMultilevel"/>
    <w:tmpl w:val="62EEA8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55456"/>
    <w:multiLevelType w:val="hybridMultilevel"/>
    <w:tmpl w:val="4DAAC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D3EBD"/>
    <w:multiLevelType w:val="hybridMultilevel"/>
    <w:tmpl w:val="53FC4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A0866"/>
    <w:multiLevelType w:val="hybridMultilevel"/>
    <w:tmpl w:val="E6CA5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5153A"/>
    <w:multiLevelType w:val="hybridMultilevel"/>
    <w:tmpl w:val="2A24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44E16"/>
    <w:multiLevelType w:val="hybridMultilevel"/>
    <w:tmpl w:val="F334D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10060"/>
    <w:multiLevelType w:val="hybridMultilevel"/>
    <w:tmpl w:val="95C668EA"/>
    <w:lvl w:ilvl="0" w:tplc="D6C60E0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E371D"/>
    <w:multiLevelType w:val="hybridMultilevel"/>
    <w:tmpl w:val="3B30F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2246D"/>
    <w:multiLevelType w:val="hybridMultilevel"/>
    <w:tmpl w:val="40BE3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32F43"/>
    <w:multiLevelType w:val="hybridMultilevel"/>
    <w:tmpl w:val="20280422"/>
    <w:lvl w:ilvl="0" w:tplc="90AA60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E49B4"/>
    <w:multiLevelType w:val="hybridMultilevel"/>
    <w:tmpl w:val="9722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07564"/>
    <w:multiLevelType w:val="hybridMultilevel"/>
    <w:tmpl w:val="9E0E0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B16B4"/>
    <w:multiLevelType w:val="hybridMultilevel"/>
    <w:tmpl w:val="31A4E270"/>
    <w:lvl w:ilvl="0" w:tplc="4D3ED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074E4"/>
    <w:multiLevelType w:val="hybridMultilevel"/>
    <w:tmpl w:val="A2CE513A"/>
    <w:lvl w:ilvl="0" w:tplc="743CC3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87976">
    <w:abstractNumId w:val="2"/>
  </w:num>
  <w:num w:numId="2" w16cid:durableId="463432380">
    <w:abstractNumId w:val="23"/>
  </w:num>
  <w:num w:numId="3" w16cid:durableId="251858590">
    <w:abstractNumId w:val="6"/>
  </w:num>
  <w:num w:numId="4" w16cid:durableId="755707048">
    <w:abstractNumId w:val="17"/>
  </w:num>
  <w:num w:numId="5" w16cid:durableId="429157671">
    <w:abstractNumId w:val="14"/>
  </w:num>
  <w:num w:numId="6" w16cid:durableId="1892570394">
    <w:abstractNumId w:val="18"/>
  </w:num>
  <w:num w:numId="7" w16cid:durableId="688526465">
    <w:abstractNumId w:val="24"/>
  </w:num>
  <w:num w:numId="8" w16cid:durableId="1684167382">
    <w:abstractNumId w:val="22"/>
  </w:num>
  <w:num w:numId="9" w16cid:durableId="1562013963">
    <w:abstractNumId w:val="20"/>
  </w:num>
  <w:num w:numId="10" w16cid:durableId="675772353">
    <w:abstractNumId w:val="9"/>
  </w:num>
  <w:num w:numId="11" w16cid:durableId="1634603003">
    <w:abstractNumId w:val="0"/>
  </w:num>
  <w:num w:numId="12" w16cid:durableId="820195556">
    <w:abstractNumId w:val="19"/>
  </w:num>
  <w:num w:numId="13" w16cid:durableId="817571642">
    <w:abstractNumId w:val="12"/>
  </w:num>
  <w:num w:numId="14" w16cid:durableId="1960603004">
    <w:abstractNumId w:val="8"/>
  </w:num>
  <w:num w:numId="15" w16cid:durableId="1094326575">
    <w:abstractNumId w:val="15"/>
  </w:num>
  <w:num w:numId="16" w16cid:durableId="1539273112">
    <w:abstractNumId w:val="11"/>
  </w:num>
  <w:num w:numId="17" w16cid:durableId="444928790">
    <w:abstractNumId w:val="25"/>
  </w:num>
  <w:num w:numId="18" w16cid:durableId="358897549">
    <w:abstractNumId w:val="21"/>
  </w:num>
  <w:num w:numId="19" w16cid:durableId="678852645">
    <w:abstractNumId w:val="27"/>
  </w:num>
  <w:num w:numId="20" w16cid:durableId="186602916">
    <w:abstractNumId w:val="3"/>
  </w:num>
  <w:num w:numId="21" w16cid:durableId="1991715900">
    <w:abstractNumId w:val="4"/>
  </w:num>
  <w:num w:numId="22" w16cid:durableId="1201940074">
    <w:abstractNumId w:val="13"/>
  </w:num>
  <w:num w:numId="23" w16cid:durableId="1829593834">
    <w:abstractNumId w:val="26"/>
  </w:num>
  <w:num w:numId="24" w16cid:durableId="1078553411">
    <w:abstractNumId w:val="5"/>
  </w:num>
  <w:num w:numId="25" w16cid:durableId="950697679">
    <w:abstractNumId w:val="7"/>
  </w:num>
  <w:num w:numId="26" w16cid:durableId="407264232">
    <w:abstractNumId w:val="10"/>
  </w:num>
  <w:num w:numId="27" w16cid:durableId="157498919">
    <w:abstractNumId w:val="1"/>
  </w:num>
  <w:num w:numId="28" w16cid:durableId="3034362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5d9x9tfh0a52xexwvlp2w0vef5xzfsp9dz0&quot;&gt;Abattoir_endnote_USE ME_19 August&lt;record-ids&gt;&lt;item&gt;12&lt;/item&gt;&lt;item&gt;14&lt;/item&gt;&lt;item&gt;20&lt;/item&gt;&lt;item&gt;21&lt;/item&gt;&lt;item&gt;22&lt;/item&gt;&lt;item&gt;94&lt;/item&gt;&lt;item&gt;163&lt;/item&gt;&lt;item&gt;258&lt;/item&gt;&lt;item&gt;272&lt;/item&gt;&lt;item&gt;276&lt;/item&gt;&lt;item&gt;277&lt;/item&gt;&lt;item&gt;279&lt;/item&gt;&lt;item&gt;280&lt;/item&gt;&lt;item&gt;281&lt;/item&gt;&lt;/record-ids&gt;&lt;/item&gt;&lt;/Libraries&gt;"/>
  </w:docVars>
  <w:rsids>
    <w:rsidRoot w:val="009F743E"/>
    <w:rsid w:val="000034DC"/>
    <w:rsid w:val="000039D3"/>
    <w:rsid w:val="00005435"/>
    <w:rsid w:val="00006125"/>
    <w:rsid w:val="00007E1D"/>
    <w:rsid w:val="0001064E"/>
    <w:rsid w:val="00010D9F"/>
    <w:rsid w:val="000121C6"/>
    <w:rsid w:val="000129CD"/>
    <w:rsid w:val="00012F4C"/>
    <w:rsid w:val="00012F64"/>
    <w:rsid w:val="0001377A"/>
    <w:rsid w:val="00016347"/>
    <w:rsid w:val="000201BC"/>
    <w:rsid w:val="00022300"/>
    <w:rsid w:val="00027869"/>
    <w:rsid w:val="00027B8E"/>
    <w:rsid w:val="00030E03"/>
    <w:rsid w:val="00032079"/>
    <w:rsid w:val="000324E5"/>
    <w:rsid w:val="0003360D"/>
    <w:rsid w:val="00035B6B"/>
    <w:rsid w:val="00035D38"/>
    <w:rsid w:val="00036E6C"/>
    <w:rsid w:val="000371A6"/>
    <w:rsid w:val="000407C4"/>
    <w:rsid w:val="00040925"/>
    <w:rsid w:val="00040C38"/>
    <w:rsid w:val="00044520"/>
    <w:rsid w:val="00044E93"/>
    <w:rsid w:val="000458BB"/>
    <w:rsid w:val="000462BA"/>
    <w:rsid w:val="0004651D"/>
    <w:rsid w:val="00047222"/>
    <w:rsid w:val="000518FA"/>
    <w:rsid w:val="00051C03"/>
    <w:rsid w:val="00053F2C"/>
    <w:rsid w:val="00055CC9"/>
    <w:rsid w:val="00057DC7"/>
    <w:rsid w:val="00057FDE"/>
    <w:rsid w:val="00060C7F"/>
    <w:rsid w:val="00064F69"/>
    <w:rsid w:val="000666DF"/>
    <w:rsid w:val="00067D0B"/>
    <w:rsid w:val="000710F6"/>
    <w:rsid w:val="0007135C"/>
    <w:rsid w:val="0007230F"/>
    <w:rsid w:val="00074A8D"/>
    <w:rsid w:val="00075221"/>
    <w:rsid w:val="00075BC9"/>
    <w:rsid w:val="00076127"/>
    <w:rsid w:val="00077C1F"/>
    <w:rsid w:val="00081ABB"/>
    <w:rsid w:val="0008203C"/>
    <w:rsid w:val="000838C6"/>
    <w:rsid w:val="00084FA8"/>
    <w:rsid w:val="00085D81"/>
    <w:rsid w:val="0008768D"/>
    <w:rsid w:val="0009079B"/>
    <w:rsid w:val="00094599"/>
    <w:rsid w:val="00097994"/>
    <w:rsid w:val="000A1E69"/>
    <w:rsid w:val="000A3FAD"/>
    <w:rsid w:val="000A433A"/>
    <w:rsid w:val="000A5CE9"/>
    <w:rsid w:val="000A6AAC"/>
    <w:rsid w:val="000A7E7A"/>
    <w:rsid w:val="000B0619"/>
    <w:rsid w:val="000B08D3"/>
    <w:rsid w:val="000B2CD7"/>
    <w:rsid w:val="000B63B4"/>
    <w:rsid w:val="000B68B5"/>
    <w:rsid w:val="000C01A0"/>
    <w:rsid w:val="000C2FA7"/>
    <w:rsid w:val="000C34BA"/>
    <w:rsid w:val="000C3CB8"/>
    <w:rsid w:val="000C47C7"/>
    <w:rsid w:val="000C4CA4"/>
    <w:rsid w:val="000C4E94"/>
    <w:rsid w:val="000C5885"/>
    <w:rsid w:val="000C5C24"/>
    <w:rsid w:val="000C5D6D"/>
    <w:rsid w:val="000C7BA6"/>
    <w:rsid w:val="000D0552"/>
    <w:rsid w:val="000D0E13"/>
    <w:rsid w:val="000D4792"/>
    <w:rsid w:val="000D6D9D"/>
    <w:rsid w:val="000E25F0"/>
    <w:rsid w:val="000E28A8"/>
    <w:rsid w:val="000E5AD1"/>
    <w:rsid w:val="000E706F"/>
    <w:rsid w:val="000F09A9"/>
    <w:rsid w:val="000F0E5A"/>
    <w:rsid w:val="000F1470"/>
    <w:rsid w:val="000F212A"/>
    <w:rsid w:val="000F40F6"/>
    <w:rsid w:val="000F60E9"/>
    <w:rsid w:val="00101E73"/>
    <w:rsid w:val="00102B66"/>
    <w:rsid w:val="00103F97"/>
    <w:rsid w:val="00104629"/>
    <w:rsid w:val="0010494C"/>
    <w:rsid w:val="001052A6"/>
    <w:rsid w:val="001068D0"/>
    <w:rsid w:val="00107A2F"/>
    <w:rsid w:val="00111634"/>
    <w:rsid w:val="00111AEA"/>
    <w:rsid w:val="00115C9C"/>
    <w:rsid w:val="00116106"/>
    <w:rsid w:val="00120561"/>
    <w:rsid w:val="00120B6B"/>
    <w:rsid w:val="0012136F"/>
    <w:rsid w:val="00121ABC"/>
    <w:rsid w:val="0012207E"/>
    <w:rsid w:val="001232C2"/>
    <w:rsid w:val="001257D1"/>
    <w:rsid w:val="00125DA6"/>
    <w:rsid w:val="00130F62"/>
    <w:rsid w:val="0013205D"/>
    <w:rsid w:val="00135601"/>
    <w:rsid w:val="0013568A"/>
    <w:rsid w:val="0014150A"/>
    <w:rsid w:val="001447E2"/>
    <w:rsid w:val="00144D95"/>
    <w:rsid w:val="00145674"/>
    <w:rsid w:val="001510C8"/>
    <w:rsid w:val="001511D7"/>
    <w:rsid w:val="001523D7"/>
    <w:rsid w:val="00152DE4"/>
    <w:rsid w:val="00153D58"/>
    <w:rsid w:val="001569EC"/>
    <w:rsid w:val="00156AD6"/>
    <w:rsid w:val="00156E06"/>
    <w:rsid w:val="00160648"/>
    <w:rsid w:val="001610CF"/>
    <w:rsid w:val="00162701"/>
    <w:rsid w:val="001646AA"/>
    <w:rsid w:val="001667D1"/>
    <w:rsid w:val="00166C25"/>
    <w:rsid w:val="0017060C"/>
    <w:rsid w:val="00170D6F"/>
    <w:rsid w:val="001727D3"/>
    <w:rsid w:val="00173C1E"/>
    <w:rsid w:val="00174C84"/>
    <w:rsid w:val="00175205"/>
    <w:rsid w:val="001752B6"/>
    <w:rsid w:val="001772FC"/>
    <w:rsid w:val="001807D1"/>
    <w:rsid w:val="00180EDA"/>
    <w:rsid w:val="00183B27"/>
    <w:rsid w:val="00183BDC"/>
    <w:rsid w:val="00184064"/>
    <w:rsid w:val="00185463"/>
    <w:rsid w:val="00186066"/>
    <w:rsid w:val="00186982"/>
    <w:rsid w:val="001871C7"/>
    <w:rsid w:val="00187816"/>
    <w:rsid w:val="00190DD3"/>
    <w:rsid w:val="0019172D"/>
    <w:rsid w:val="00191750"/>
    <w:rsid w:val="00191C7E"/>
    <w:rsid w:val="001933CB"/>
    <w:rsid w:val="00194468"/>
    <w:rsid w:val="001951B3"/>
    <w:rsid w:val="00197021"/>
    <w:rsid w:val="001973F8"/>
    <w:rsid w:val="001A00CD"/>
    <w:rsid w:val="001A1440"/>
    <w:rsid w:val="001A18BF"/>
    <w:rsid w:val="001A2305"/>
    <w:rsid w:val="001A2E4C"/>
    <w:rsid w:val="001A3AD7"/>
    <w:rsid w:val="001A40F6"/>
    <w:rsid w:val="001A54A8"/>
    <w:rsid w:val="001A5EE4"/>
    <w:rsid w:val="001A71C1"/>
    <w:rsid w:val="001A7780"/>
    <w:rsid w:val="001B0E4A"/>
    <w:rsid w:val="001B12EF"/>
    <w:rsid w:val="001B218B"/>
    <w:rsid w:val="001B236F"/>
    <w:rsid w:val="001B2732"/>
    <w:rsid w:val="001B2774"/>
    <w:rsid w:val="001B2C2C"/>
    <w:rsid w:val="001B3C61"/>
    <w:rsid w:val="001B3EC3"/>
    <w:rsid w:val="001B4FE2"/>
    <w:rsid w:val="001B5114"/>
    <w:rsid w:val="001B528B"/>
    <w:rsid w:val="001B564D"/>
    <w:rsid w:val="001B602C"/>
    <w:rsid w:val="001B6B96"/>
    <w:rsid w:val="001B75A8"/>
    <w:rsid w:val="001B788B"/>
    <w:rsid w:val="001C2BF7"/>
    <w:rsid w:val="001C7CBE"/>
    <w:rsid w:val="001D06A4"/>
    <w:rsid w:val="001D06C0"/>
    <w:rsid w:val="001D1621"/>
    <w:rsid w:val="001D6BF5"/>
    <w:rsid w:val="001D71A9"/>
    <w:rsid w:val="001D7652"/>
    <w:rsid w:val="001D7B25"/>
    <w:rsid w:val="001D7BFC"/>
    <w:rsid w:val="001E2056"/>
    <w:rsid w:val="001E61A0"/>
    <w:rsid w:val="001E68EC"/>
    <w:rsid w:val="001E6D92"/>
    <w:rsid w:val="001F2889"/>
    <w:rsid w:val="001F31ED"/>
    <w:rsid w:val="001F3F7B"/>
    <w:rsid w:val="001F62F3"/>
    <w:rsid w:val="001F7354"/>
    <w:rsid w:val="001F7395"/>
    <w:rsid w:val="00204A66"/>
    <w:rsid w:val="00206C78"/>
    <w:rsid w:val="0020733A"/>
    <w:rsid w:val="00207A0F"/>
    <w:rsid w:val="00207B18"/>
    <w:rsid w:val="00211B6D"/>
    <w:rsid w:val="00211C7D"/>
    <w:rsid w:val="00212446"/>
    <w:rsid w:val="00212ED2"/>
    <w:rsid w:val="002137B7"/>
    <w:rsid w:val="00214631"/>
    <w:rsid w:val="00215989"/>
    <w:rsid w:val="0021718A"/>
    <w:rsid w:val="002171A4"/>
    <w:rsid w:val="002200CE"/>
    <w:rsid w:val="002219D7"/>
    <w:rsid w:val="00222842"/>
    <w:rsid w:val="00223A23"/>
    <w:rsid w:val="00223A61"/>
    <w:rsid w:val="00224094"/>
    <w:rsid w:val="00225077"/>
    <w:rsid w:val="00225B8E"/>
    <w:rsid w:val="002260F3"/>
    <w:rsid w:val="002269F3"/>
    <w:rsid w:val="00227EE5"/>
    <w:rsid w:val="002323F0"/>
    <w:rsid w:val="00234055"/>
    <w:rsid w:val="00234B79"/>
    <w:rsid w:val="00236D4B"/>
    <w:rsid w:val="00236FA7"/>
    <w:rsid w:val="002377B4"/>
    <w:rsid w:val="00241D92"/>
    <w:rsid w:val="00242309"/>
    <w:rsid w:val="00242533"/>
    <w:rsid w:val="002434D1"/>
    <w:rsid w:val="002434EC"/>
    <w:rsid w:val="00245D8C"/>
    <w:rsid w:val="002465D2"/>
    <w:rsid w:val="002470AC"/>
    <w:rsid w:val="002475DC"/>
    <w:rsid w:val="002508A3"/>
    <w:rsid w:val="00251705"/>
    <w:rsid w:val="00253081"/>
    <w:rsid w:val="00253B8E"/>
    <w:rsid w:val="00254881"/>
    <w:rsid w:val="00256FCE"/>
    <w:rsid w:val="00257E06"/>
    <w:rsid w:val="002602AF"/>
    <w:rsid w:val="002608FB"/>
    <w:rsid w:val="00260E80"/>
    <w:rsid w:val="00261CEE"/>
    <w:rsid w:val="00262775"/>
    <w:rsid w:val="00264D3F"/>
    <w:rsid w:val="002654BC"/>
    <w:rsid w:val="00265945"/>
    <w:rsid w:val="0026649C"/>
    <w:rsid w:val="002728A0"/>
    <w:rsid w:val="0027318B"/>
    <w:rsid w:val="00273909"/>
    <w:rsid w:val="0027409C"/>
    <w:rsid w:val="0027540C"/>
    <w:rsid w:val="00275FB9"/>
    <w:rsid w:val="002761B6"/>
    <w:rsid w:val="00276576"/>
    <w:rsid w:val="00276B23"/>
    <w:rsid w:val="00276C2C"/>
    <w:rsid w:val="00276F70"/>
    <w:rsid w:val="00276FC2"/>
    <w:rsid w:val="0027780D"/>
    <w:rsid w:val="00277D33"/>
    <w:rsid w:val="00280BB1"/>
    <w:rsid w:val="00290524"/>
    <w:rsid w:val="00290C1B"/>
    <w:rsid w:val="00291119"/>
    <w:rsid w:val="00291132"/>
    <w:rsid w:val="00295109"/>
    <w:rsid w:val="00295A7D"/>
    <w:rsid w:val="00296372"/>
    <w:rsid w:val="0029708C"/>
    <w:rsid w:val="002A0139"/>
    <w:rsid w:val="002A0C4C"/>
    <w:rsid w:val="002A1048"/>
    <w:rsid w:val="002A34D6"/>
    <w:rsid w:val="002A4D8D"/>
    <w:rsid w:val="002A60C9"/>
    <w:rsid w:val="002A697B"/>
    <w:rsid w:val="002A75F6"/>
    <w:rsid w:val="002A76E9"/>
    <w:rsid w:val="002A7980"/>
    <w:rsid w:val="002B0C1A"/>
    <w:rsid w:val="002B1C63"/>
    <w:rsid w:val="002B251D"/>
    <w:rsid w:val="002B6244"/>
    <w:rsid w:val="002B66DF"/>
    <w:rsid w:val="002B7198"/>
    <w:rsid w:val="002C1400"/>
    <w:rsid w:val="002C21D2"/>
    <w:rsid w:val="002C30BE"/>
    <w:rsid w:val="002C3959"/>
    <w:rsid w:val="002C6C8F"/>
    <w:rsid w:val="002C72B0"/>
    <w:rsid w:val="002D0835"/>
    <w:rsid w:val="002D2A14"/>
    <w:rsid w:val="002D497A"/>
    <w:rsid w:val="002D4CFF"/>
    <w:rsid w:val="002D5975"/>
    <w:rsid w:val="002D69E6"/>
    <w:rsid w:val="002E18EA"/>
    <w:rsid w:val="002E3AF9"/>
    <w:rsid w:val="002E4FE8"/>
    <w:rsid w:val="002E52CB"/>
    <w:rsid w:val="002E5C91"/>
    <w:rsid w:val="002E66D3"/>
    <w:rsid w:val="002E7031"/>
    <w:rsid w:val="002E78AD"/>
    <w:rsid w:val="002E7A93"/>
    <w:rsid w:val="002F0E1C"/>
    <w:rsid w:val="002F19DC"/>
    <w:rsid w:val="002F259E"/>
    <w:rsid w:val="002F3561"/>
    <w:rsid w:val="002F3C2B"/>
    <w:rsid w:val="002F44AB"/>
    <w:rsid w:val="002F5A98"/>
    <w:rsid w:val="002F614A"/>
    <w:rsid w:val="00300221"/>
    <w:rsid w:val="0030183E"/>
    <w:rsid w:val="003039D5"/>
    <w:rsid w:val="00304B04"/>
    <w:rsid w:val="0030506D"/>
    <w:rsid w:val="0030511D"/>
    <w:rsid w:val="00307B63"/>
    <w:rsid w:val="00307C66"/>
    <w:rsid w:val="00310399"/>
    <w:rsid w:val="00310876"/>
    <w:rsid w:val="00310D7B"/>
    <w:rsid w:val="00311D14"/>
    <w:rsid w:val="0031263F"/>
    <w:rsid w:val="0031317D"/>
    <w:rsid w:val="00314415"/>
    <w:rsid w:val="0031746A"/>
    <w:rsid w:val="003209C8"/>
    <w:rsid w:val="00320A2D"/>
    <w:rsid w:val="00323B30"/>
    <w:rsid w:val="00324DE3"/>
    <w:rsid w:val="00325D84"/>
    <w:rsid w:val="00327642"/>
    <w:rsid w:val="003307F4"/>
    <w:rsid w:val="003323C1"/>
    <w:rsid w:val="00334DB6"/>
    <w:rsid w:val="003364DB"/>
    <w:rsid w:val="00340E04"/>
    <w:rsid w:val="003421DF"/>
    <w:rsid w:val="0034392F"/>
    <w:rsid w:val="003457AA"/>
    <w:rsid w:val="00347213"/>
    <w:rsid w:val="00347BB8"/>
    <w:rsid w:val="00350A7A"/>
    <w:rsid w:val="00351531"/>
    <w:rsid w:val="0035370C"/>
    <w:rsid w:val="00353F77"/>
    <w:rsid w:val="00353FC7"/>
    <w:rsid w:val="0035584B"/>
    <w:rsid w:val="00355CA3"/>
    <w:rsid w:val="00356ED6"/>
    <w:rsid w:val="00357A6D"/>
    <w:rsid w:val="00361B5C"/>
    <w:rsid w:val="00363B05"/>
    <w:rsid w:val="00364334"/>
    <w:rsid w:val="00365C0C"/>
    <w:rsid w:val="00366029"/>
    <w:rsid w:val="00366F16"/>
    <w:rsid w:val="00370A65"/>
    <w:rsid w:val="00370B28"/>
    <w:rsid w:val="00370D3B"/>
    <w:rsid w:val="00371FEB"/>
    <w:rsid w:val="003728BA"/>
    <w:rsid w:val="00374908"/>
    <w:rsid w:val="00375E8B"/>
    <w:rsid w:val="00376481"/>
    <w:rsid w:val="003802A6"/>
    <w:rsid w:val="003810E6"/>
    <w:rsid w:val="003824BC"/>
    <w:rsid w:val="0038472E"/>
    <w:rsid w:val="00385DB8"/>
    <w:rsid w:val="00385E55"/>
    <w:rsid w:val="00386320"/>
    <w:rsid w:val="00386F08"/>
    <w:rsid w:val="00387860"/>
    <w:rsid w:val="00387BA4"/>
    <w:rsid w:val="00387CC8"/>
    <w:rsid w:val="0039036B"/>
    <w:rsid w:val="0039251C"/>
    <w:rsid w:val="00392C72"/>
    <w:rsid w:val="00394DD3"/>
    <w:rsid w:val="00395060"/>
    <w:rsid w:val="00396966"/>
    <w:rsid w:val="003969B0"/>
    <w:rsid w:val="003A0926"/>
    <w:rsid w:val="003A0A94"/>
    <w:rsid w:val="003A2BD7"/>
    <w:rsid w:val="003A42D4"/>
    <w:rsid w:val="003A55EF"/>
    <w:rsid w:val="003A7C79"/>
    <w:rsid w:val="003B2106"/>
    <w:rsid w:val="003B2F80"/>
    <w:rsid w:val="003B32BB"/>
    <w:rsid w:val="003B33DE"/>
    <w:rsid w:val="003B373A"/>
    <w:rsid w:val="003B6CC5"/>
    <w:rsid w:val="003C00E4"/>
    <w:rsid w:val="003C0B0A"/>
    <w:rsid w:val="003C15F6"/>
    <w:rsid w:val="003C1DCD"/>
    <w:rsid w:val="003C2C4D"/>
    <w:rsid w:val="003C488D"/>
    <w:rsid w:val="003C63C2"/>
    <w:rsid w:val="003C69D3"/>
    <w:rsid w:val="003D027F"/>
    <w:rsid w:val="003D0790"/>
    <w:rsid w:val="003D0A21"/>
    <w:rsid w:val="003D130F"/>
    <w:rsid w:val="003D16B3"/>
    <w:rsid w:val="003D523E"/>
    <w:rsid w:val="003D6A89"/>
    <w:rsid w:val="003D6C2A"/>
    <w:rsid w:val="003E23BC"/>
    <w:rsid w:val="003E2F2C"/>
    <w:rsid w:val="003F08C8"/>
    <w:rsid w:val="003F18E1"/>
    <w:rsid w:val="003F517F"/>
    <w:rsid w:val="003F65EE"/>
    <w:rsid w:val="003F7CD7"/>
    <w:rsid w:val="00403A54"/>
    <w:rsid w:val="00404788"/>
    <w:rsid w:val="00406C7D"/>
    <w:rsid w:val="00406D2C"/>
    <w:rsid w:val="004079FA"/>
    <w:rsid w:val="00410BFA"/>
    <w:rsid w:val="004110C6"/>
    <w:rsid w:val="00412EA8"/>
    <w:rsid w:val="00413D7C"/>
    <w:rsid w:val="00415097"/>
    <w:rsid w:val="00415326"/>
    <w:rsid w:val="00415FE5"/>
    <w:rsid w:val="00422CA2"/>
    <w:rsid w:val="0043152B"/>
    <w:rsid w:val="00431D2C"/>
    <w:rsid w:val="0043369B"/>
    <w:rsid w:val="00433F0C"/>
    <w:rsid w:val="004349D4"/>
    <w:rsid w:val="0044084D"/>
    <w:rsid w:val="00440F57"/>
    <w:rsid w:val="0044136F"/>
    <w:rsid w:val="00441FFA"/>
    <w:rsid w:val="00442083"/>
    <w:rsid w:val="004421FB"/>
    <w:rsid w:val="0044437D"/>
    <w:rsid w:val="00450E0F"/>
    <w:rsid w:val="004579FB"/>
    <w:rsid w:val="00460D5B"/>
    <w:rsid w:val="00461E6C"/>
    <w:rsid w:val="00462767"/>
    <w:rsid w:val="00462BBC"/>
    <w:rsid w:val="00464838"/>
    <w:rsid w:val="004649A1"/>
    <w:rsid w:val="004651E0"/>
    <w:rsid w:val="00466891"/>
    <w:rsid w:val="00470405"/>
    <w:rsid w:val="00471A37"/>
    <w:rsid w:val="00472127"/>
    <w:rsid w:val="0047292E"/>
    <w:rsid w:val="00474D74"/>
    <w:rsid w:val="004805E2"/>
    <w:rsid w:val="00482F75"/>
    <w:rsid w:val="00483152"/>
    <w:rsid w:val="00483EC4"/>
    <w:rsid w:val="004854A5"/>
    <w:rsid w:val="004862E3"/>
    <w:rsid w:val="00487918"/>
    <w:rsid w:val="00490C8F"/>
    <w:rsid w:val="00491E29"/>
    <w:rsid w:val="0049222D"/>
    <w:rsid w:val="00494860"/>
    <w:rsid w:val="00494F70"/>
    <w:rsid w:val="00495241"/>
    <w:rsid w:val="00495850"/>
    <w:rsid w:val="004A07A9"/>
    <w:rsid w:val="004A0CF4"/>
    <w:rsid w:val="004A207C"/>
    <w:rsid w:val="004A3A84"/>
    <w:rsid w:val="004A4C20"/>
    <w:rsid w:val="004A568A"/>
    <w:rsid w:val="004A6348"/>
    <w:rsid w:val="004A6D4B"/>
    <w:rsid w:val="004B18ED"/>
    <w:rsid w:val="004B7639"/>
    <w:rsid w:val="004C197A"/>
    <w:rsid w:val="004C212D"/>
    <w:rsid w:val="004C2138"/>
    <w:rsid w:val="004C30B2"/>
    <w:rsid w:val="004C5983"/>
    <w:rsid w:val="004D0EFA"/>
    <w:rsid w:val="004D1707"/>
    <w:rsid w:val="004D32BE"/>
    <w:rsid w:val="004D35AB"/>
    <w:rsid w:val="004D3779"/>
    <w:rsid w:val="004D4BBD"/>
    <w:rsid w:val="004D6345"/>
    <w:rsid w:val="004D6EEB"/>
    <w:rsid w:val="004D7F72"/>
    <w:rsid w:val="004E0055"/>
    <w:rsid w:val="004E088D"/>
    <w:rsid w:val="004E0DF0"/>
    <w:rsid w:val="004E3225"/>
    <w:rsid w:val="004E3884"/>
    <w:rsid w:val="004E53BF"/>
    <w:rsid w:val="004E59F3"/>
    <w:rsid w:val="004E6543"/>
    <w:rsid w:val="004F2284"/>
    <w:rsid w:val="004F31C5"/>
    <w:rsid w:val="004F3817"/>
    <w:rsid w:val="004F585C"/>
    <w:rsid w:val="004F6CCF"/>
    <w:rsid w:val="004F7C98"/>
    <w:rsid w:val="005014E0"/>
    <w:rsid w:val="005031D2"/>
    <w:rsid w:val="00503667"/>
    <w:rsid w:val="005050ED"/>
    <w:rsid w:val="00505823"/>
    <w:rsid w:val="005079CA"/>
    <w:rsid w:val="00507E55"/>
    <w:rsid w:val="00512581"/>
    <w:rsid w:val="00513B0A"/>
    <w:rsid w:val="005142D8"/>
    <w:rsid w:val="00516A3F"/>
    <w:rsid w:val="00520726"/>
    <w:rsid w:val="00520CB9"/>
    <w:rsid w:val="00521C62"/>
    <w:rsid w:val="00522B5E"/>
    <w:rsid w:val="00524518"/>
    <w:rsid w:val="005253D9"/>
    <w:rsid w:val="005255D8"/>
    <w:rsid w:val="00525F40"/>
    <w:rsid w:val="00526434"/>
    <w:rsid w:val="00526FA1"/>
    <w:rsid w:val="00527D33"/>
    <w:rsid w:val="005303BD"/>
    <w:rsid w:val="0053041D"/>
    <w:rsid w:val="00530DF9"/>
    <w:rsid w:val="00530E3E"/>
    <w:rsid w:val="00531A27"/>
    <w:rsid w:val="00531A80"/>
    <w:rsid w:val="00532528"/>
    <w:rsid w:val="00533A70"/>
    <w:rsid w:val="00540BE1"/>
    <w:rsid w:val="0054195F"/>
    <w:rsid w:val="005433D5"/>
    <w:rsid w:val="0054351D"/>
    <w:rsid w:val="00546312"/>
    <w:rsid w:val="00550EEF"/>
    <w:rsid w:val="00554DFC"/>
    <w:rsid w:val="00556B11"/>
    <w:rsid w:val="0056348C"/>
    <w:rsid w:val="005634C0"/>
    <w:rsid w:val="00563C0A"/>
    <w:rsid w:val="00564617"/>
    <w:rsid w:val="005648BA"/>
    <w:rsid w:val="005659F2"/>
    <w:rsid w:val="0056605B"/>
    <w:rsid w:val="0056613A"/>
    <w:rsid w:val="0056682B"/>
    <w:rsid w:val="00570121"/>
    <w:rsid w:val="005706BC"/>
    <w:rsid w:val="005707D1"/>
    <w:rsid w:val="005709E6"/>
    <w:rsid w:val="00570C8D"/>
    <w:rsid w:val="0057109D"/>
    <w:rsid w:val="0057251D"/>
    <w:rsid w:val="00573354"/>
    <w:rsid w:val="00574353"/>
    <w:rsid w:val="0057780C"/>
    <w:rsid w:val="00577DA8"/>
    <w:rsid w:val="00581F72"/>
    <w:rsid w:val="00583ACC"/>
    <w:rsid w:val="00584A30"/>
    <w:rsid w:val="005908F8"/>
    <w:rsid w:val="00590B7A"/>
    <w:rsid w:val="00592172"/>
    <w:rsid w:val="00595ADC"/>
    <w:rsid w:val="00596014"/>
    <w:rsid w:val="005969E2"/>
    <w:rsid w:val="00596E59"/>
    <w:rsid w:val="00597A39"/>
    <w:rsid w:val="005A0116"/>
    <w:rsid w:val="005A03EB"/>
    <w:rsid w:val="005A3553"/>
    <w:rsid w:val="005A359B"/>
    <w:rsid w:val="005A374B"/>
    <w:rsid w:val="005A3BF2"/>
    <w:rsid w:val="005A3D06"/>
    <w:rsid w:val="005A47FC"/>
    <w:rsid w:val="005A52AF"/>
    <w:rsid w:val="005A5C87"/>
    <w:rsid w:val="005A5F53"/>
    <w:rsid w:val="005A648D"/>
    <w:rsid w:val="005A658E"/>
    <w:rsid w:val="005A6952"/>
    <w:rsid w:val="005B35F5"/>
    <w:rsid w:val="005B4B8B"/>
    <w:rsid w:val="005B5C97"/>
    <w:rsid w:val="005B6F8F"/>
    <w:rsid w:val="005C027F"/>
    <w:rsid w:val="005C0FBE"/>
    <w:rsid w:val="005C120F"/>
    <w:rsid w:val="005C1670"/>
    <w:rsid w:val="005C1A04"/>
    <w:rsid w:val="005C3E43"/>
    <w:rsid w:val="005C5D39"/>
    <w:rsid w:val="005C65A9"/>
    <w:rsid w:val="005C74DA"/>
    <w:rsid w:val="005C7A26"/>
    <w:rsid w:val="005D0BBA"/>
    <w:rsid w:val="005D3B8A"/>
    <w:rsid w:val="005D3F7E"/>
    <w:rsid w:val="005E0895"/>
    <w:rsid w:val="005E2DAF"/>
    <w:rsid w:val="005E3455"/>
    <w:rsid w:val="005E66D5"/>
    <w:rsid w:val="005E7187"/>
    <w:rsid w:val="005E74AC"/>
    <w:rsid w:val="005F020A"/>
    <w:rsid w:val="005F0ABB"/>
    <w:rsid w:val="005F0D60"/>
    <w:rsid w:val="005F1118"/>
    <w:rsid w:val="005F15C2"/>
    <w:rsid w:val="005F1EF2"/>
    <w:rsid w:val="005F69A4"/>
    <w:rsid w:val="00602267"/>
    <w:rsid w:val="006026BF"/>
    <w:rsid w:val="00602DB8"/>
    <w:rsid w:val="00604A81"/>
    <w:rsid w:val="006059A3"/>
    <w:rsid w:val="00606FA9"/>
    <w:rsid w:val="006073A0"/>
    <w:rsid w:val="00607699"/>
    <w:rsid w:val="00610C8F"/>
    <w:rsid w:val="00611F72"/>
    <w:rsid w:val="00612163"/>
    <w:rsid w:val="006135E6"/>
    <w:rsid w:val="0061428D"/>
    <w:rsid w:val="00614BD2"/>
    <w:rsid w:val="00620B0E"/>
    <w:rsid w:val="00621265"/>
    <w:rsid w:val="00622018"/>
    <w:rsid w:val="0062337C"/>
    <w:rsid w:val="00623C13"/>
    <w:rsid w:val="00624DE8"/>
    <w:rsid w:val="00625A47"/>
    <w:rsid w:val="00625D6D"/>
    <w:rsid w:val="006272B3"/>
    <w:rsid w:val="0062755A"/>
    <w:rsid w:val="00627842"/>
    <w:rsid w:val="006300C9"/>
    <w:rsid w:val="00631964"/>
    <w:rsid w:val="00633759"/>
    <w:rsid w:val="006339AA"/>
    <w:rsid w:val="00633E61"/>
    <w:rsid w:val="00634111"/>
    <w:rsid w:val="00634EEF"/>
    <w:rsid w:val="00635F18"/>
    <w:rsid w:val="00636F15"/>
    <w:rsid w:val="00636FBF"/>
    <w:rsid w:val="0063735D"/>
    <w:rsid w:val="006400B2"/>
    <w:rsid w:val="00640B89"/>
    <w:rsid w:val="00643F25"/>
    <w:rsid w:val="00644536"/>
    <w:rsid w:val="00644B9F"/>
    <w:rsid w:val="00644C09"/>
    <w:rsid w:val="006467E2"/>
    <w:rsid w:val="006507DE"/>
    <w:rsid w:val="00650FCA"/>
    <w:rsid w:val="0065116F"/>
    <w:rsid w:val="006527D9"/>
    <w:rsid w:val="00652F86"/>
    <w:rsid w:val="0065361C"/>
    <w:rsid w:val="00653866"/>
    <w:rsid w:val="00661334"/>
    <w:rsid w:val="0066210B"/>
    <w:rsid w:val="006623DF"/>
    <w:rsid w:val="006635BB"/>
    <w:rsid w:val="00663608"/>
    <w:rsid w:val="00666753"/>
    <w:rsid w:val="006672C9"/>
    <w:rsid w:val="00667D22"/>
    <w:rsid w:val="006701AD"/>
    <w:rsid w:val="00672CE2"/>
    <w:rsid w:val="00673AE7"/>
    <w:rsid w:val="00674011"/>
    <w:rsid w:val="00674350"/>
    <w:rsid w:val="006749C7"/>
    <w:rsid w:val="006761E9"/>
    <w:rsid w:val="0067663F"/>
    <w:rsid w:val="00677360"/>
    <w:rsid w:val="00680624"/>
    <w:rsid w:val="00681AEE"/>
    <w:rsid w:val="006824BE"/>
    <w:rsid w:val="0069018D"/>
    <w:rsid w:val="00692450"/>
    <w:rsid w:val="00692912"/>
    <w:rsid w:val="00692B9D"/>
    <w:rsid w:val="00696B58"/>
    <w:rsid w:val="006A0AAA"/>
    <w:rsid w:val="006A1D8C"/>
    <w:rsid w:val="006A260F"/>
    <w:rsid w:val="006A26F6"/>
    <w:rsid w:val="006A2D94"/>
    <w:rsid w:val="006A4A50"/>
    <w:rsid w:val="006A4ACC"/>
    <w:rsid w:val="006A653E"/>
    <w:rsid w:val="006A7FC2"/>
    <w:rsid w:val="006B0522"/>
    <w:rsid w:val="006B1836"/>
    <w:rsid w:val="006B27C1"/>
    <w:rsid w:val="006B756F"/>
    <w:rsid w:val="006B759D"/>
    <w:rsid w:val="006C02BB"/>
    <w:rsid w:val="006C0D52"/>
    <w:rsid w:val="006C1B1B"/>
    <w:rsid w:val="006C465B"/>
    <w:rsid w:val="006C4B17"/>
    <w:rsid w:val="006C595F"/>
    <w:rsid w:val="006C65AF"/>
    <w:rsid w:val="006C75E8"/>
    <w:rsid w:val="006D144B"/>
    <w:rsid w:val="006D2A26"/>
    <w:rsid w:val="006D2C51"/>
    <w:rsid w:val="006D2D5F"/>
    <w:rsid w:val="006D30FF"/>
    <w:rsid w:val="006D315A"/>
    <w:rsid w:val="006D414A"/>
    <w:rsid w:val="006D50B7"/>
    <w:rsid w:val="006D539D"/>
    <w:rsid w:val="006D7553"/>
    <w:rsid w:val="006E1385"/>
    <w:rsid w:val="006E27F8"/>
    <w:rsid w:val="006E2A18"/>
    <w:rsid w:val="006E2FF8"/>
    <w:rsid w:val="006E4724"/>
    <w:rsid w:val="006E5198"/>
    <w:rsid w:val="006E5F96"/>
    <w:rsid w:val="006F2529"/>
    <w:rsid w:val="006F2AE6"/>
    <w:rsid w:val="006F2D3E"/>
    <w:rsid w:val="006F32D1"/>
    <w:rsid w:val="006F4C07"/>
    <w:rsid w:val="006F5A21"/>
    <w:rsid w:val="00700F45"/>
    <w:rsid w:val="007019AE"/>
    <w:rsid w:val="00701D38"/>
    <w:rsid w:val="0070228C"/>
    <w:rsid w:val="00702A45"/>
    <w:rsid w:val="00703548"/>
    <w:rsid w:val="0070386D"/>
    <w:rsid w:val="00703D4C"/>
    <w:rsid w:val="00712024"/>
    <w:rsid w:val="00712A72"/>
    <w:rsid w:val="00713A5A"/>
    <w:rsid w:val="0071476B"/>
    <w:rsid w:val="00715AAF"/>
    <w:rsid w:val="00715FD9"/>
    <w:rsid w:val="00716A00"/>
    <w:rsid w:val="00716CC5"/>
    <w:rsid w:val="00717C5C"/>
    <w:rsid w:val="00720A94"/>
    <w:rsid w:val="00721B8B"/>
    <w:rsid w:val="00721BF8"/>
    <w:rsid w:val="00723683"/>
    <w:rsid w:val="00724689"/>
    <w:rsid w:val="007253C1"/>
    <w:rsid w:val="007261DB"/>
    <w:rsid w:val="00730ABA"/>
    <w:rsid w:val="00731054"/>
    <w:rsid w:val="007312D0"/>
    <w:rsid w:val="007315B6"/>
    <w:rsid w:val="00731FF2"/>
    <w:rsid w:val="00732B91"/>
    <w:rsid w:val="00735A21"/>
    <w:rsid w:val="0073749C"/>
    <w:rsid w:val="00737947"/>
    <w:rsid w:val="00740DAB"/>
    <w:rsid w:val="00742AA1"/>
    <w:rsid w:val="00743759"/>
    <w:rsid w:val="00744943"/>
    <w:rsid w:val="00744B96"/>
    <w:rsid w:val="00744C93"/>
    <w:rsid w:val="00747787"/>
    <w:rsid w:val="00747E0B"/>
    <w:rsid w:val="007519BA"/>
    <w:rsid w:val="00753A01"/>
    <w:rsid w:val="00753CD3"/>
    <w:rsid w:val="007542B7"/>
    <w:rsid w:val="00754549"/>
    <w:rsid w:val="0075587B"/>
    <w:rsid w:val="007558ED"/>
    <w:rsid w:val="007560AF"/>
    <w:rsid w:val="007564C2"/>
    <w:rsid w:val="007569BB"/>
    <w:rsid w:val="007575B5"/>
    <w:rsid w:val="007579CA"/>
    <w:rsid w:val="00760C3C"/>
    <w:rsid w:val="007623CF"/>
    <w:rsid w:val="00762ADD"/>
    <w:rsid w:val="00763BB1"/>
    <w:rsid w:val="00763D52"/>
    <w:rsid w:val="00764C50"/>
    <w:rsid w:val="00765F17"/>
    <w:rsid w:val="007663FC"/>
    <w:rsid w:val="00766E73"/>
    <w:rsid w:val="00767F93"/>
    <w:rsid w:val="0077011D"/>
    <w:rsid w:val="0077116F"/>
    <w:rsid w:val="00771622"/>
    <w:rsid w:val="00771E4B"/>
    <w:rsid w:val="00771EFC"/>
    <w:rsid w:val="00774AA0"/>
    <w:rsid w:val="007753CD"/>
    <w:rsid w:val="00776906"/>
    <w:rsid w:val="007802E4"/>
    <w:rsid w:val="00780B33"/>
    <w:rsid w:val="00782877"/>
    <w:rsid w:val="00782B41"/>
    <w:rsid w:val="00782E45"/>
    <w:rsid w:val="00783057"/>
    <w:rsid w:val="007855EA"/>
    <w:rsid w:val="00786E59"/>
    <w:rsid w:val="00790CF6"/>
    <w:rsid w:val="00791633"/>
    <w:rsid w:val="00792835"/>
    <w:rsid w:val="007957DB"/>
    <w:rsid w:val="007A102C"/>
    <w:rsid w:val="007A13E9"/>
    <w:rsid w:val="007A2035"/>
    <w:rsid w:val="007A360A"/>
    <w:rsid w:val="007A3A7A"/>
    <w:rsid w:val="007A426A"/>
    <w:rsid w:val="007A5383"/>
    <w:rsid w:val="007A60A2"/>
    <w:rsid w:val="007A6976"/>
    <w:rsid w:val="007A6BF5"/>
    <w:rsid w:val="007A73D7"/>
    <w:rsid w:val="007B01C0"/>
    <w:rsid w:val="007B262E"/>
    <w:rsid w:val="007B4F9C"/>
    <w:rsid w:val="007B5541"/>
    <w:rsid w:val="007B7C52"/>
    <w:rsid w:val="007C0187"/>
    <w:rsid w:val="007C09DA"/>
    <w:rsid w:val="007C0E28"/>
    <w:rsid w:val="007C191D"/>
    <w:rsid w:val="007C261D"/>
    <w:rsid w:val="007C358D"/>
    <w:rsid w:val="007C3779"/>
    <w:rsid w:val="007C7167"/>
    <w:rsid w:val="007D0206"/>
    <w:rsid w:val="007D0379"/>
    <w:rsid w:val="007D0F1A"/>
    <w:rsid w:val="007D2FA0"/>
    <w:rsid w:val="007D302B"/>
    <w:rsid w:val="007D38B0"/>
    <w:rsid w:val="007D516D"/>
    <w:rsid w:val="007D6C5C"/>
    <w:rsid w:val="007E12AE"/>
    <w:rsid w:val="007E279B"/>
    <w:rsid w:val="007E29EA"/>
    <w:rsid w:val="007E2E7D"/>
    <w:rsid w:val="007E33B8"/>
    <w:rsid w:val="007E3B94"/>
    <w:rsid w:val="007F04E5"/>
    <w:rsid w:val="007F0D45"/>
    <w:rsid w:val="007F0E16"/>
    <w:rsid w:val="007F2764"/>
    <w:rsid w:val="007F28B3"/>
    <w:rsid w:val="007F4D0F"/>
    <w:rsid w:val="007F5C63"/>
    <w:rsid w:val="007F6CA9"/>
    <w:rsid w:val="00801874"/>
    <w:rsid w:val="00801A90"/>
    <w:rsid w:val="00801B69"/>
    <w:rsid w:val="00802AF6"/>
    <w:rsid w:val="00802FFF"/>
    <w:rsid w:val="008065F6"/>
    <w:rsid w:val="00806A95"/>
    <w:rsid w:val="0081191E"/>
    <w:rsid w:val="00811E95"/>
    <w:rsid w:val="008160B4"/>
    <w:rsid w:val="008168EF"/>
    <w:rsid w:val="00821025"/>
    <w:rsid w:val="00821AB0"/>
    <w:rsid w:val="00822B8F"/>
    <w:rsid w:val="00825557"/>
    <w:rsid w:val="00825BAA"/>
    <w:rsid w:val="00826142"/>
    <w:rsid w:val="00831DA9"/>
    <w:rsid w:val="00832A5E"/>
    <w:rsid w:val="00833BFC"/>
    <w:rsid w:val="00835993"/>
    <w:rsid w:val="00836179"/>
    <w:rsid w:val="00836192"/>
    <w:rsid w:val="00840DAA"/>
    <w:rsid w:val="00842C13"/>
    <w:rsid w:val="008457F8"/>
    <w:rsid w:val="008460B4"/>
    <w:rsid w:val="00846B73"/>
    <w:rsid w:val="0084761B"/>
    <w:rsid w:val="00847AAA"/>
    <w:rsid w:val="008531FB"/>
    <w:rsid w:val="00853C4B"/>
    <w:rsid w:val="00855792"/>
    <w:rsid w:val="008576F7"/>
    <w:rsid w:val="00861508"/>
    <w:rsid w:val="008634D9"/>
    <w:rsid w:val="008636A6"/>
    <w:rsid w:val="0086507B"/>
    <w:rsid w:val="0086546C"/>
    <w:rsid w:val="00867AE7"/>
    <w:rsid w:val="0087023A"/>
    <w:rsid w:val="00872503"/>
    <w:rsid w:val="00873E7A"/>
    <w:rsid w:val="008760F6"/>
    <w:rsid w:val="00876C32"/>
    <w:rsid w:val="00881DC2"/>
    <w:rsid w:val="00881F67"/>
    <w:rsid w:val="0088225A"/>
    <w:rsid w:val="0088261F"/>
    <w:rsid w:val="008827E1"/>
    <w:rsid w:val="008852F6"/>
    <w:rsid w:val="0088621E"/>
    <w:rsid w:val="008868C3"/>
    <w:rsid w:val="00890360"/>
    <w:rsid w:val="00890EB1"/>
    <w:rsid w:val="00892641"/>
    <w:rsid w:val="00897598"/>
    <w:rsid w:val="008A2337"/>
    <w:rsid w:val="008A2F4E"/>
    <w:rsid w:val="008A30A3"/>
    <w:rsid w:val="008A3F8C"/>
    <w:rsid w:val="008A5CAF"/>
    <w:rsid w:val="008A687D"/>
    <w:rsid w:val="008A69B4"/>
    <w:rsid w:val="008A7869"/>
    <w:rsid w:val="008B2881"/>
    <w:rsid w:val="008B2BB4"/>
    <w:rsid w:val="008B366C"/>
    <w:rsid w:val="008B3E55"/>
    <w:rsid w:val="008B444C"/>
    <w:rsid w:val="008B5867"/>
    <w:rsid w:val="008B6F52"/>
    <w:rsid w:val="008B7859"/>
    <w:rsid w:val="008B7C14"/>
    <w:rsid w:val="008C2AE0"/>
    <w:rsid w:val="008C3ED3"/>
    <w:rsid w:val="008C4354"/>
    <w:rsid w:val="008C4404"/>
    <w:rsid w:val="008C62D9"/>
    <w:rsid w:val="008C6390"/>
    <w:rsid w:val="008C648A"/>
    <w:rsid w:val="008C6F75"/>
    <w:rsid w:val="008D10F7"/>
    <w:rsid w:val="008D247E"/>
    <w:rsid w:val="008D2896"/>
    <w:rsid w:val="008D5661"/>
    <w:rsid w:val="008D623B"/>
    <w:rsid w:val="008E25DE"/>
    <w:rsid w:val="008E422A"/>
    <w:rsid w:val="008E55C1"/>
    <w:rsid w:val="008E6596"/>
    <w:rsid w:val="008E7BC0"/>
    <w:rsid w:val="008F1C9C"/>
    <w:rsid w:val="008F3F1C"/>
    <w:rsid w:val="008F580E"/>
    <w:rsid w:val="008F64D3"/>
    <w:rsid w:val="008F76B3"/>
    <w:rsid w:val="00900E1F"/>
    <w:rsid w:val="009015C3"/>
    <w:rsid w:val="00901D87"/>
    <w:rsid w:val="0090327E"/>
    <w:rsid w:val="00912652"/>
    <w:rsid w:val="00916358"/>
    <w:rsid w:val="00917365"/>
    <w:rsid w:val="0092041F"/>
    <w:rsid w:val="009216AC"/>
    <w:rsid w:val="0092278B"/>
    <w:rsid w:val="00922B39"/>
    <w:rsid w:val="00923B6B"/>
    <w:rsid w:val="00923D22"/>
    <w:rsid w:val="0092442B"/>
    <w:rsid w:val="00926D40"/>
    <w:rsid w:val="009272D6"/>
    <w:rsid w:val="009308CE"/>
    <w:rsid w:val="00931E63"/>
    <w:rsid w:val="00932A62"/>
    <w:rsid w:val="00932E73"/>
    <w:rsid w:val="00934107"/>
    <w:rsid w:val="009355C9"/>
    <w:rsid w:val="00936E01"/>
    <w:rsid w:val="009370C0"/>
    <w:rsid w:val="0093769D"/>
    <w:rsid w:val="00940A18"/>
    <w:rsid w:val="00941363"/>
    <w:rsid w:val="009416BB"/>
    <w:rsid w:val="00941F16"/>
    <w:rsid w:val="0094252B"/>
    <w:rsid w:val="00943D26"/>
    <w:rsid w:val="00943F0F"/>
    <w:rsid w:val="0094422E"/>
    <w:rsid w:val="00944F58"/>
    <w:rsid w:val="00950E44"/>
    <w:rsid w:val="009519F6"/>
    <w:rsid w:val="009527E6"/>
    <w:rsid w:val="00954145"/>
    <w:rsid w:val="00954336"/>
    <w:rsid w:val="00955B6C"/>
    <w:rsid w:val="00955E05"/>
    <w:rsid w:val="00961926"/>
    <w:rsid w:val="00962B02"/>
    <w:rsid w:val="00964F85"/>
    <w:rsid w:val="00966A4E"/>
    <w:rsid w:val="00966BF2"/>
    <w:rsid w:val="00966DDB"/>
    <w:rsid w:val="009673C1"/>
    <w:rsid w:val="00967468"/>
    <w:rsid w:val="0096786A"/>
    <w:rsid w:val="009706C4"/>
    <w:rsid w:val="0097281C"/>
    <w:rsid w:val="00972F4E"/>
    <w:rsid w:val="00975707"/>
    <w:rsid w:val="00977BA2"/>
    <w:rsid w:val="009807B5"/>
    <w:rsid w:val="00981E63"/>
    <w:rsid w:val="009825B3"/>
    <w:rsid w:val="00982DEB"/>
    <w:rsid w:val="0098487E"/>
    <w:rsid w:val="00984A2B"/>
    <w:rsid w:val="00987ADF"/>
    <w:rsid w:val="00990F91"/>
    <w:rsid w:val="00991E6E"/>
    <w:rsid w:val="00991F20"/>
    <w:rsid w:val="009924DC"/>
    <w:rsid w:val="0099511A"/>
    <w:rsid w:val="0099532F"/>
    <w:rsid w:val="00995B58"/>
    <w:rsid w:val="009960F3"/>
    <w:rsid w:val="0099737B"/>
    <w:rsid w:val="00997C46"/>
    <w:rsid w:val="009A02CE"/>
    <w:rsid w:val="009A0ACE"/>
    <w:rsid w:val="009A14A8"/>
    <w:rsid w:val="009A1DA2"/>
    <w:rsid w:val="009A3553"/>
    <w:rsid w:val="009A4DCA"/>
    <w:rsid w:val="009A71FA"/>
    <w:rsid w:val="009A7436"/>
    <w:rsid w:val="009A7A8B"/>
    <w:rsid w:val="009B1F65"/>
    <w:rsid w:val="009B28ED"/>
    <w:rsid w:val="009B29B6"/>
    <w:rsid w:val="009B4578"/>
    <w:rsid w:val="009B490F"/>
    <w:rsid w:val="009B5413"/>
    <w:rsid w:val="009B5AF2"/>
    <w:rsid w:val="009B63DA"/>
    <w:rsid w:val="009B65D2"/>
    <w:rsid w:val="009B716D"/>
    <w:rsid w:val="009B7AF3"/>
    <w:rsid w:val="009C02F5"/>
    <w:rsid w:val="009C0FB8"/>
    <w:rsid w:val="009C4AAF"/>
    <w:rsid w:val="009C4B09"/>
    <w:rsid w:val="009C669C"/>
    <w:rsid w:val="009C696B"/>
    <w:rsid w:val="009C6D63"/>
    <w:rsid w:val="009C74C5"/>
    <w:rsid w:val="009C7DF1"/>
    <w:rsid w:val="009D1098"/>
    <w:rsid w:val="009D378A"/>
    <w:rsid w:val="009D49B4"/>
    <w:rsid w:val="009D53EA"/>
    <w:rsid w:val="009D6CDB"/>
    <w:rsid w:val="009E01FA"/>
    <w:rsid w:val="009E2BBF"/>
    <w:rsid w:val="009E43AE"/>
    <w:rsid w:val="009E4E21"/>
    <w:rsid w:val="009E5437"/>
    <w:rsid w:val="009F1B9E"/>
    <w:rsid w:val="009F2DD6"/>
    <w:rsid w:val="009F340B"/>
    <w:rsid w:val="009F3F82"/>
    <w:rsid w:val="009F54F8"/>
    <w:rsid w:val="009F743E"/>
    <w:rsid w:val="009F7D0D"/>
    <w:rsid w:val="00A010F6"/>
    <w:rsid w:val="00A02677"/>
    <w:rsid w:val="00A037AA"/>
    <w:rsid w:val="00A03A0A"/>
    <w:rsid w:val="00A03A65"/>
    <w:rsid w:val="00A05506"/>
    <w:rsid w:val="00A066F3"/>
    <w:rsid w:val="00A12574"/>
    <w:rsid w:val="00A12A02"/>
    <w:rsid w:val="00A12D2C"/>
    <w:rsid w:val="00A13020"/>
    <w:rsid w:val="00A135FB"/>
    <w:rsid w:val="00A14150"/>
    <w:rsid w:val="00A17E4A"/>
    <w:rsid w:val="00A2115F"/>
    <w:rsid w:val="00A227FE"/>
    <w:rsid w:val="00A2288F"/>
    <w:rsid w:val="00A23172"/>
    <w:rsid w:val="00A240CA"/>
    <w:rsid w:val="00A24855"/>
    <w:rsid w:val="00A248FB"/>
    <w:rsid w:val="00A24ACF"/>
    <w:rsid w:val="00A24B51"/>
    <w:rsid w:val="00A26E15"/>
    <w:rsid w:val="00A3068F"/>
    <w:rsid w:val="00A31DBC"/>
    <w:rsid w:val="00A32880"/>
    <w:rsid w:val="00A33CBC"/>
    <w:rsid w:val="00A34FE5"/>
    <w:rsid w:val="00A36189"/>
    <w:rsid w:val="00A36AE0"/>
    <w:rsid w:val="00A40338"/>
    <w:rsid w:val="00A42CD0"/>
    <w:rsid w:val="00A430D3"/>
    <w:rsid w:val="00A44550"/>
    <w:rsid w:val="00A44C32"/>
    <w:rsid w:val="00A46BC7"/>
    <w:rsid w:val="00A473BB"/>
    <w:rsid w:val="00A50868"/>
    <w:rsid w:val="00A50B71"/>
    <w:rsid w:val="00A50D23"/>
    <w:rsid w:val="00A50DF6"/>
    <w:rsid w:val="00A50E72"/>
    <w:rsid w:val="00A5128F"/>
    <w:rsid w:val="00A51B28"/>
    <w:rsid w:val="00A522D7"/>
    <w:rsid w:val="00A525F7"/>
    <w:rsid w:val="00A5395B"/>
    <w:rsid w:val="00A540B2"/>
    <w:rsid w:val="00A54484"/>
    <w:rsid w:val="00A55A9F"/>
    <w:rsid w:val="00A55F05"/>
    <w:rsid w:val="00A564C6"/>
    <w:rsid w:val="00A56858"/>
    <w:rsid w:val="00A57183"/>
    <w:rsid w:val="00A60145"/>
    <w:rsid w:val="00A622D7"/>
    <w:rsid w:val="00A637F8"/>
    <w:rsid w:val="00A639D8"/>
    <w:rsid w:val="00A63FC5"/>
    <w:rsid w:val="00A65894"/>
    <w:rsid w:val="00A6650C"/>
    <w:rsid w:val="00A67F6D"/>
    <w:rsid w:val="00A70A28"/>
    <w:rsid w:val="00A70C8C"/>
    <w:rsid w:val="00A710E2"/>
    <w:rsid w:val="00A7111C"/>
    <w:rsid w:val="00A72A7A"/>
    <w:rsid w:val="00A74EB1"/>
    <w:rsid w:val="00A750B4"/>
    <w:rsid w:val="00A776F4"/>
    <w:rsid w:val="00A80336"/>
    <w:rsid w:val="00A807FF"/>
    <w:rsid w:val="00A80840"/>
    <w:rsid w:val="00A80983"/>
    <w:rsid w:val="00A822A5"/>
    <w:rsid w:val="00A8342C"/>
    <w:rsid w:val="00A836ED"/>
    <w:rsid w:val="00A840EF"/>
    <w:rsid w:val="00A84869"/>
    <w:rsid w:val="00A8633E"/>
    <w:rsid w:val="00A8680B"/>
    <w:rsid w:val="00A86B02"/>
    <w:rsid w:val="00A91A94"/>
    <w:rsid w:val="00A93942"/>
    <w:rsid w:val="00A954AE"/>
    <w:rsid w:val="00A96371"/>
    <w:rsid w:val="00A963B0"/>
    <w:rsid w:val="00A9655A"/>
    <w:rsid w:val="00AA01CD"/>
    <w:rsid w:val="00AA287D"/>
    <w:rsid w:val="00AA4D1F"/>
    <w:rsid w:val="00AA689B"/>
    <w:rsid w:val="00AA69BF"/>
    <w:rsid w:val="00AA6E67"/>
    <w:rsid w:val="00AB0680"/>
    <w:rsid w:val="00AB0C46"/>
    <w:rsid w:val="00AB13D2"/>
    <w:rsid w:val="00AB21F1"/>
    <w:rsid w:val="00AB3CB7"/>
    <w:rsid w:val="00AB481C"/>
    <w:rsid w:val="00AB49FD"/>
    <w:rsid w:val="00AB5E33"/>
    <w:rsid w:val="00AB61DB"/>
    <w:rsid w:val="00AB6E4A"/>
    <w:rsid w:val="00AB7643"/>
    <w:rsid w:val="00AC2E0E"/>
    <w:rsid w:val="00AC2EF7"/>
    <w:rsid w:val="00AC45F0"/>
    <w:rsid w:val="00AC628F"/>
    <w:rsid w:val="00AD08C9"/>
    <w:rsid w:val="00AD2592"/>
    <w:rsid w:val="00AD4104"/>
    <w:rsid w:val="00AD49E3"/>
    <w:rsid w:val="00AD6D68"/>
    <w:rsid w:val="00AD744A"/>
    <w:rsid w:val="00AE08D4"/>
    <w:rsid w:val="00AE75F9"/>
    <w:rsid w:val="00AE7D76"/>
    <w:rsid w:val="00AF2427"/>
    <w:rsid w:val="00AF2708"/>
    <w:rsid w:val="00AF3591"/>
    <w:rsid w:val="00AF4D88"/>
    <w:rsid w:val="00AF4EC6"/>
    <w:rsid w:val="00AF4ED8"/>
    <w:rsid w:val="00AF50F6"/>
    <w:rsid w:val="00AF5132"/>
    <w:rsid w:val="00AF53A9"/>
    <w:rsid w:val="00AF587D"/>
    <w:rsid w:val="00AF7955"/>
    <w:rsid w:val="00B00B24"/>
    <w:rsid w:val="00B021D9"/>
    <w:rsid w:val="00B04836"/>
    <w:rsid w:val="00B04ADC"/>
    <w:rsid w:val="00B05908"/>
    <w:rsid w:val="00B05D83"/>
    <w:rsid w:val="00B079FD"/>
    <w:rsid w:val="00B118B4"/>
    <w:rsid w:val="00B13BFA"/>
    <w:rsid w:val="00B14B63"/>
    <w:rsid w:val="00B15F69"/>
    <w:rsid w:val="00B20CA3"/>
    <w:rsid w:val="00B21076"/>
    <w:rsid w:val="00B23652"/>
    <w:rsid w:val="00B2421C"/>
    <w:rsid w:val="00B266AB"/>
    <w:rsid w:val="00B27718"/>
    <w:rsid w:val="00B31C56"/>
    <w:rsid w:val="00B32685"/>
    <w:rsid w:val="00B334DA"/>
    <w:rsid w:val="00B3397C"/>
    <w:rsid w:val="00B37F61"/>
    <w:rsid w:val="00B40746"/>
    <w:rsid w:val="00B42362"/>
    <w:rsid w:val="00B44389"/>
    <w:rsid w:val="00B44BBB"/>
    <w:rsid w:val="00B46D10"/>
    <w:rsid w:val="00B47379"/>
    <w:rsid w:val="00B47CC9"/>
    <w:rsid w:val="00B47FB3"/>
    <w:rsid w:val="00B50896"/>
    <w:rsid w:val="00B5121E"/>
    <w:rsid w:val="00B512F8"/>
    <w:rsid w:val="00B52127"/>
    <w:rsid w:val="00B5278E"/>
    <w:rsid w:val="00B52EC2"/>
    <w:rsid w:val="00B530BB"/>
    <w:rsid w:val="00B53420"/>
    <w:rsid w:val="00B54BB4"/>
    <w:rsid w:val="00B5516F"/>
    <w:rsid w:val="00B557FF"/>
    <w:rsid w:val="00B55DEB"/>
    <w:rsid w:val="00B56997"/>
    <w:rsid w:val="00B56F62"/>
    <w:rsid w:val="00B57E68"/>
    <w:rsid w:val="00B64B4A"/>
    <w:rsid w:val="00B64DDE"/>
    <w:rsid w:val="00B65F72"/>
    <w:rsid w:val="00B66B93"/>
    <w:rsid w:val="00B66DC8"/>
    <w:rsid w:val="00B66ED4"/>
    <w:rsid w:val="00B67EFD"/>
    <w:rsid w:val="00B70F2F"/>
    <w:rsid w:val="00B719D1"/>
    <w:rsid w:val="00B71B60"/>
    <w:rsid w:val="00B726FB"/>
    <w:rsid w:val="00B736AA"/>
    <w:rsid w:val="00B74C1A"/>
    <w:rsid w:val="00B74DB0"/>
    <w:rsid w:val="00B75C14"/>
    <w:rsid w:val="00B76524"/>
    <w:rsid w:val="00B76921"/>
    <w:rsid w:val="00B7778F"/>
    <w:rsid w:val="00B77B4B"/>
    <w:rsid w:val="00B81344"/>
    <w:rsid w:val="00B81D03"/>
    <w:rsid w:val="00B82BA5"/>
    <w:rsid w:val="00B82FED"/>
    <w:rsid w:val="00B83C51"/>
    <w:rsid w:val="00B84BEA"/>
    <w:rsid w:val="00B85002"/>
    <w:rsid w:val="00B86C9C"/>
    <w:rsid w:val="00B91F10"/>
    <w:rsid w:val="00B96373"/>
    <w:rsid w:val="00B9639C"/>
    <w:rsid w:val="00B973B6"/>
    <w:rsid w:val="00B9766E"/>
    <w:rsid w:val="00B97CA8"/>
    <w:rsid w:val="00BA07C6"/>
    <w:rsid w:val="00BA0F9C"/>
    <w:rsid w:val="00BA22B8"/>
    <w:rsid w:val="00BA33B4"/>
    <w:rsid w:val="00BA34DD"/>
    <w:rsid w:val="00BA5DC3"/>
    <w:rsid w:val="00BA6FF3"/>
    <w:rsid w:val="00BA7A20"/>
    <w:rsid w:val="00BB36E4"/>
    <w:rsid w:val="00BB47EE"/>
    <w:rsid w:val="00BB7AAF"/>
    <w:rsid w:val="00BB7E96"/>
    <w:rsid w:val="00BC1C56"/>
    <w:rsid w:val="00BC3789"/>
    <w:rsid w:val="00BC5974"/>
    <w:rsid w:val="00BC6B63"/>
    <w:rsid w:val="00BC779D"/>
    <w:rsid w:val="00BD0BA1"/>
    <w:rsid w:val="00BD2D81"/>
    <w:rsid w:val="00BD3252"/>
    <w:rsid w:val="00BD63F9"/>
    <w:rsid w:val="00BD64B7"/>
    <w:rsid w:val="00BD6598"/>
    <w:rsid w:val="00BD715D"/>
    <w:rsid w:val="00BE15BE"/>
    <w:rsid w:val="00BE1A90"/>
    <w:rsid w:val="00BE1BB3"/>
    <w:rsid w:val="00BE41E9"/>
    <w:rsid w:val="00BE6629"/>
    <w:rsid w:val="00BE6CA7"/>
    <w:rsid w:val="00BE6E6D"/>
    <w:rsid w:val="00BE7F7A"/>
    <w:rsid w:val="00BF07B1"/>
    <w:rsid w:val="00BF2677"/>
    <w:rsid w:val="00BF2B51"/>
    <w:rsid w:val="00BF2C3F"/>
    <w:rsid w:val="00BF4324"/>
    <w:rsid w:val="00BF4605"/>
    <w:rsid w:val="00BF4AF9"/>
    <w:rsid w:val="00BF6E96"/>
    <w:rsid w:val="00BF797A"/>
    <w:rsid w:val="00C0020A"/>
    <w:rsid w:val="00C006D2"/>
    <w:rsid w:val="00C00830"/>
    <w:rsid w:val="00C01422"/>
    <w:rsid w:val="00C0229D"/>
    <w:rsid w:val="00C0243C"/>
    <w:rsid w:val="00C03217"/>
    <w:rsid w:val="00C04D8E"/>
    <w:rsid w:val="00C07687"/>
    <w:rsid w:val="00C12B46"/>
    <w:rsid w:val="00C1434E"/>
    <w:rsid w:val="00C166B4"/>
    <w:rsid w:val="00C17009"/>
    <w:rsid w:val="00C17784"/>
    <w:rsid w:val="00C17B50"/>
    <w:rsid w:val="00C212DF"/>
    <w:rsid w:val="00C21F7F"/>
    <w:rsid w:val="00C24B48"/>
    <w:rsid w:val="00C2734C"/>
    <w:rsid w:val="00C308A6"/>
    <w:rsid w:val="00C30AB7"/>
    <w:rsid w:val="00C30C0F"/>
    <w:rsid w:val="00C30FD3"/>
    <w:rsid w:val="00C310A0"/>
    <w:rsid w:val="00C33430"/>
    <w:rsid w:val="00C3403A"/>
    <w:rsid w:val="00C346D4"/>
    <w:rsid w:val="00C35FA6"/>
    <w:rsid w:val="00C37254"/>
    <w:rsid w:val="00C407D0"/>
    <w:rsid w:val="00C413EC"/>
    <w:rsid w:val="00C42BE1"/>
    <w:rsid w:val="00C4382D"/>
    <w:rsid w:val="00C43FD7"/>
    <w:rsid w:val="00C45F27"/>
    <w:rsid w:val="00C46C14"/>
    <w:rsid w:val="00C47F60"/>
    <w:rsid w:val="00C5041D"/>
    <w:rsid w:val="00C63382"/>
    <w:rsid w:val="00C64EF7"/>
    <w:rsid w:val="00C65CEF"/>
    <w:rsid w:val="00C65D4B"/>
    <w:rsid w:val="00C65E1E"/>
    <w:rsid w:val="00C666E0"/>
    <w:rsid w:val="00C704DA"/>
    <w:rsid w:val="00C70D12"/>
    <w:rsid w:val="00C7140C"/>
    <w:rsid w:val="00C7254D"/>
    <w:rsid w:val="00C72962"/>
    <w:rsid w:val="00C73137"/>
    <w:rsid w:val="00C7577A"/>
    <w:rsid w:val="00C776B2"/>
    <w:rsid w:val="00C80C75"/>
    <w:rsid w:val="00C819A7"/>
    <w:rsid w:val="00C83902"/>
    <w:rsid w:val="00C913BB"/>
    <w:rsid w:val="00C9244B"/>
    <w:rsid w:val="00C92751"/>
    <w:rsid w:val="00C95000"/>
    <w:rsid w:val="00C9611E"/>
    <w:rsid w:val="00C97E79"/>
    <w:rsid w:val="00CA0854"/>
    <w:rsid w:val="00CA0B8F"/>
    <w:rsid w:val="00CA31C8"/>
    <w:rsid w:val="00CA35C5"/>
    <w:rsid w:val="00CA3864"/>
    <w:rsid w:val="00CA40C5"/>
    <w:rsid w:val="00CA6409"/>
    <w:rsid w:val="00CA735C"/>
    <w:rsid w:val="00CA7851"/>
    <w:rsid w:val="00CA7DA6"/>
    <w:rsid w:val="00CB036E"/>
    <w:rsid w:val="00CB2043"/>
    <w:rsid w:val="00CB3897"/>
    <w:rsid w:val="00CB5CAA"/>
    <w:rsid w:val="00CB68DA"/>
    <w:rsid w:val="00CC0B98"/>
    <w:rsid w:val="00CC18A1"/>
    <w:rsid w:val="00CC37AE"/>
    <w:rsid w:val="00CC69C8"/>
    <w:rsid w:val="00CC787C"/>
    <w:rsid w:val="00CC7AAF"/>
    <w:rsid w:val="00CD05F6"/>
    <w:rsid w:val="00CD11D6"/>
    <w:rsid w:val="00CD18A4"/>
    <w:rsid w:val="00CD223C"/>
    <w:rsid w:val="00CD3A76"/>
    <w:rsid w:val="00CD4235"/>
    <w:rsid w:val="00CD5AF7"/>
    <w:rsid w:val="00CD606B"/>
    <w:rsid w:val="00CD7BD2"/>
    <w:rsid w:val="00CE0170"/>
    <w:rsid w:val="00CE0D2C"/>
    <w:rsid w:val="00CE1704"/>
    <w:rsid w:val="00CE6420"/>
    <w:rsid w:val="00CE6E9E"/>
    <w:rsid w:val="00CF2F3A"/>
    <w:rsid w:val="00CF5A50"/>
    <w:rsid w:val="00CF5CC6"/>
    <w:rsid w:val="00CF737C"/>
    <w:rsid w:val="00CF74E5"/>
    <w:rsid w:val="00D01D91"/>
    <w:rsid w:val="00D022AE"/>
    <w:rsid w:val="00D04735"/>
    <w:rsid w:val="00D04EF7"/>
    <w:rsid w:val="00D11F93"/>
    <w:rsid w:val="00D14A1A"/>
    <w:rsid w:val="00D156FD"/>
    <w:rsid w:val="00D16679"/>
    <w:rsid w:val="00D173D7"/>
    <w:rsid w:val="00D1746E"/>
    <w:rsid w:val="00D1786F"/>
    <w:rsid w:val="00D2003E"/>
    <w:rsid w:val="00D20D22"/>
    <w:rsid w:val="00D212E5"/>
    <w:rsid w:val="00D22F45"/>
    <w:rsid w:val="00D230D2"/>
    <w:rsid w:val="00D232D6"/>
    <w:rsid w:val="00D24915"/>
    <w:rsid w:val="00D2495F"/>
    <w:rsid w:val="00D24EDA"/>
    <w:rsid w:val="00D27B57"/>
    <w:rsid w:val="00D31677"/>
    <w:rsid w:val="00D371AF"/>
    <w:rsid w:val="00D411A1"/>
    <w:rsid w:val="00D42285"/>
    <w:rsid w:val="00D42552"/>
    <w:rsid w:val="00D42A40"/>
    <w:rsid w:val="00D42D35"/>
    <w:rsid w:val="00D43C0A"/>
    <w:rsid w:val="00D46EF6"/>
    <w:rsid w:val="00D47D1E"/>
    <w:rsid w:val="00D47F58"/>
    <w:rsid w:val="00D51531"/>
    <w:rsid w:val="00D52730"/>
    <w:rsid w:val="00D53178"/>
    <w:rsid w:val="00D543CD"/>
    <w:rsid w:val="00D54671"/>
    <w:rsid w:val="00D54706"/>
    <w:rsid w:val="00D568BF"/>
    <w:rsid w:val="00D56C22"/>
    <w:rsid w:val="00D634CF"/>
    <w:rsid w:val="00D63E3E"/>
    <w:rsid w:val="00D6463A"/>
    <w:rsid w:val="00D65110"/>
    <w:rsid w:val="00D67348"/>
    <w:rsid w:val="00D701B2"/>
    <w:rsid w:val="00D702EA"/>
    <w:rsid w:val="00D73ABD"/>
    <w:rsid w:val="00D74A90"/>
    <w:rsid w:val="00D74DF4"/>
    <w:rsid w:val="00D75663"/>
    <w:rsid w:val="00D75FD3"/>
    <w:rsid w:val="00D76315"/>
    <w:rsid w:val="00D7668F"/>
    <w:rsid w:val="00D822F8"/>
    <w:rsid w:val="00D83DC1"/>
    <w:rsid w:val="00D845C1"/>
    <w:rsid w:val="00D84EA8"/>
    <w:rsid w:val="00D85235"/>
    <w:rsid w:val="00D85E58"/>
    <w:rsid w:val="00D873B5"/>
    <w:rsid w:val="00D8754A"/>
    <w:rsid w:val="00D9101D"/>
    <w:rsid w:val="00D93542"/>
    <w:rsid w:val="00D93EA6"/>
    <w:rsid w:val="00D94CF7"/>
    <w:rsid w:val="00D95C49"/>
    <w:rsid w:val="00D9658D"/>
    <w:rsid w:val="00D97785"/>
    <w:rsid w:val="00DA0A7F"/>
    <w:rsid w:val="00DA18FB"/>
    <w:rsid w:val="00DA2239"/>
    <w:rsid w:val="00DA4F35"/>
    <w:rsid w:val="00DA6273"/>
    <w:rsid w:val="00DA6BFB"/>
    <w:rsid w:val="00DA6FC4"/>
    <w:rsid w:val="00DB0146"/>
    <w:rsid w:val="00DB0B0A"/>
    <w:rsid w:val="00DB1549"/>
    <w:rsid w:val="00DB165D"/>
    <w:rsid w:val="00DB2514"/>
    <w:rsid w:val="00DB561E"/>
    <w:rsid w:val="00DB5C4B"/>
    <w:rsid w:val="00DB6D6B"/>
    <w:rsid w:val="00DB7A85"/>
    <w:rsid w:val="00DC0253"/>
    <w:rsid w:val="00DC1CF3"/>
    <w:rsid w:val="00DC1F92"/>
    <w:rsid w:val="00DC2995"/>
    <w:rsid w:val="00DC35F0"/>
    <w:rsid w:val="00DC5589"/>
    <w:rsid w:val="00DC5AA3"/>
    <w:rsid w:val="00DC6935"/>
    <w:rsid w:val="00DC6D05"/>
    <w:rsid w:val="00DC7270"/>
    <w:rsid w:val="00DC7711"/>
    <w:rsid w:val="00DD0D23"/>
    <w:rsid w:val="00DD2DD1"/>
    <w:rsid w:val="00DD47CD"/>
    <w:rsid w:val="00DD5134"/>
    <w:rsid w:val="00DD5BE0"/>
    <w:rsid w:val="00DD6BDC"/>
    <w:rsid w:val="00DE138B"/>
    <w:rsid w:val="00DE2555"/>
    <w:rsid w:val="00DE380E"/>
    <w:rsid w:val="00DE50B2"/>
    <w:rsid w:val="00DE5629"/>
    <w:rsid w:val="00DE64FF"/>
    <w:rsid w:val="00DE6D02"/>
    <w:rsid w:val="00DE73B9"/>
    <w:rsid w:val="00DE7993"/>
    <w:rsid w:val="00DF09B6"/>
    <w:rsid w:val="00DF2F22"/>
    <w:rsid w:val="00DF3257"/>
    <w:rsid w:val="00DF3505"/>
    <w:rsid w:val="00DF45BE"/>
    <w:rsid w:val="00DF5042"/>
    <w:rsid w:val="00DF547F"/>
    <w:rsid w:val="00E003FE"/>
    <w:rsid w:val="00E01DE6"/>
    <w:rsid w:val="00E05E15"/>
    <w:rsid w:val="00E06909"/>
    <w:rsid w:val="00E07415"/>
    <w:rsid w:val="00E10BF0"/>
    <w:rsid w:val="00E11AD9"/>
    <w:rsid w:val="00E122DB"/>
    <w:rsid w:val="00E12E10"/>
    <w:rsid w:val="00E13699"/>
    <w:rsid w:val="00E13AC0"/>
    <w:rsid w:val="00E13BE7"/>
    <w:rsid w:val="00E15A30"/>
    <w:rsid w:val="00E16398"/>
    <w:rsid w:val="00E171A9"/>
    <w:rsid w:val="00E171BE"/>
    <w:rsid w:val="00E17F93"/>
    <w:rsid w:val="00E2043E"/>
    <w:rsid w:val="00E20A99"/>
    <w:rsid w:val="00E2294B"/>
    <w:rsid w:val="00E22E26"/>
    <w:rsid w:val="00E24289"/>
    <w:rsid w:val="00E24294"/>
    <w:rsid w:val="00E25849"/>
    <w:rsid w:val="00E25AFF"/>
    <w:rsid w:val="00E26D8D"/>
    <w:rsid w:val="00E278E8"/>
    <w:rsid w:val="00E27DDF"/>
    <w:rsid w:val="00E32005"/>
    <w:rsid w:val="00E33882"/>
    <w:rsid w:val="00E339C5"/>
    <w:rsid w:val="00E33F5F"/>
    <w:rsid w:val="00E3478A"/>
    <w:rsid w:val="00E35BEA"/>
    <w:rsid w:val="00E37838"/>
    <w:rsid w:val="00E37B03"/>
    <w:rsid w:val="00E41D9C"/>
    <w:rsid w:val="00E42E72"/>
    <w:rsid w:val="00E430D0"/>
    <w:rsid w:val="00E43397"/>
    <w:rsid w:val="00E44A8B"/>
    <w:rsid w:val="00E46101"/>
    <w:rsid w:val="00E50A65"/>
    <w:rsid w:val="00E533FA"/>
    <w:rsid w:val="00E5512F"/>
    <w:rsid w:val="00E556BA"/>
    <w:rsid w:val="00E55784"/>
    <w:rsid w:val="00E557BA"/>
    <w:rsid w:val="00E55D84"/>
    <w:rsid w:val="00E6090C"/>
    <w:rsid w:val="00E62AB4"/>
    <w:rsid w:val="00E644FF"/>
    <w:rsid w:val="00E64FD8"/>
    <w:rsid w:val="00E65368"/>
    <w:rsid w:val="00E6720D"/>
    <w:rsid w:val="00E6780D"/>
    <w:rsid w:val="00E67D35"/>
    <w:rsid w:val="00E71628"/>
    <w:rsid w:val="00E73042"/>
    <w:rsid w:val="00E73536"/>
    <w:rsid w:val="00E7499F"/>
    <w:rsid w:val="00E7643E"/>
    <w:rsid w:val="00E765CE"/>
    <w:rsid w:val="00E77C5C"/>
    <w:rsid w:val="00E77EF7"/>
    <w:rsid w:val="00E80258"/>
    <w:rsid w:val="00E81575"/>
    <w:rsid w:val="00E84E7B"/>
    <w:rsid w:val="00E90A1A"/>
    <w:rsid w:val="00E92D87"/>
    <w:rsid w:val="00E964C8"/>
    <w:rsid w:val="00EA225A"/>
    <w:rsid w:val="00EA2B22"/>
    <w:rsid w:val="00EA5BB5"/>
    <w:rsid w:val="00EA725E"/>
    <w:rsid w:val="00EB070C"/>
    <w:rsid w:val="00EB0766"/>
    <w:rsid w:val="00EB0CAD"/>
    <w:rsid w:val="00EB2D20"/>
    <w:rsid w:val="00EB4123"/>
    <w:rsid w:val="00EB44C8"/>
    <w:rsid w:val="00EB6D69"/>
    <w:rsid w:val="00EB7393"/>
    <w:rsid w:val="00EC2D05"/>
    <w:rsid w:val="00EC3B66"/>
    <w:rsid w:val="00EC40CC"/>
    <w:rsid w:val="00EC4870"/>
    <w:rsid w:val="00EC4EA7"/>
    <w:rsid w:val="00EC580D"/>
    <w:rsid w:val="00ED0F7D"/>
    <w:rsid w:val="00ED14A3"/>
    <w:rsid w:val="00ED27CC"/>
    <w:rsid w:val="00ED525D"/>
    <w:rsid w:val="00ED5BF4"/>
    <w:rsid w:val="00EE0019"/>
    <w:rsid w:val="00EE00FA"/>
    <w:rsid w:val="00EE02FB"/>
    <w:rsid w:val="00EE1307"/>
    <w:rsid w:val="00EE1517"/>
    <w:rsid w:val="00EE15F9"/>
    <w:rsid w:val="00EE18D4"/>
    <w:rsid w:val="00EE2154"/>
    <w:rsid w:val="00EE2D4C"/>
    <w:rsid w:val="00EE4590"/>
    <w:rsid w:val="00EE613C"/>
    <w:rsid w:val="00EF6399"/>
    <w:rsid w:val="00F0131E"/>
    <w:rsid w:val="00F02052"/>
    <w:rsid w:val="00F0274D"/>
    <w:rsid w:val="00F0357C"/>
    <w:rsid w:val="00F0675A"/>
    <w:rsid w:val="00F069E1"/>
    <w:rsid w:val="00F10147"/>
    <w:rsid w:val="00F10279"/>
    <w:rsid w:val="00F10F22"/>
    <w:rsid w:val="00F12CFE"/>
    <w:rsid w:val="00F12DAF"/>
    <w:rsid w:val="00F13142"/>
    <w:rsid w:val="00F13577"/>
    <w:rsid w:val="00F145A8"/>
    <w:rsid w:val="00F15108"/>
    <w:rsid w:val="00F1773E"/>
    <w:rsid w:val="00F2070D"/>
    <w:rsid w:val="00F241A0"/>
    <w:rsid w:val="00F2774B"/>
    <w:rsid w:val="00F3146B"/>
    <w:rsid w:val="00F3233D"/>
    <w:rsid w:val="00F32608"/>
    <w:rsid w:val="00F35077"/>
    <w:rsid w:val="00F35C48"/>
    <w:rsid w:val="00F35E8C"/>
    <w:rsid w:val="00F36B0E"/>
    <w:rsid w:val="00F37F01"/>
    <w:rsid w:val="00F40727"/>
    <w:rsid w:val="00F40A56"/>
    <w:rsid w:val="00F40C51"/>
    <w:rsid w:val="00F4177E"/>
    <w:rsid w:val="00F41F2B"/>
    <w:rsid w:val="00F41FE4"/>
    <w:rsid w:val="00F44EC1"/>
    <w:rsid w:val="00F468AF"/>
    <w:rsid w:val="00F46B43"/>
    <w:rsid w:val="00F47511"/>
    <w:rsid w:val="00F47C4A"/>
    <w:rsid w:val="00F500E0"/>
    <w:rsid w:val="00F502F6"/>
    <w:rsid w:val="00F51DD9"/>
    <w:rsid w:val="00F53372"/>
    <w:rsid w:val="00F55664"/>
    <w:rsid w:val="00F56F3A"/>
    <w:rsid w:val="00F57733"/>
    <w:rsid w:val="00F61721"/>
    <w:rsid w:val="00F61F3A"/>
    <w:rsid w:val="00F63B36"/>
    <w:rsid w:val="00F65024"/>
    <w:rsid w:val="00F668DA"/>
    <w:rsid w:val="00F67E06"/>
    <w:rsid w:val="00F70D77"/>
    <w:rsid w:val="00F72F23"/>
    <w:rsid w:val="00F73362"/>
    <w:rsid w:val="00F738BA"/>
    <w:rsid w:val="00F7408D"/>
    <w:rsid w:val="00F777D7"/>
    <w:rsid w:val="00F80E9D"/>
    <w:rsid w:val="00F83885"/>
    <w:rsid w:val="00F83B51"/>
    <w:rsid w:val="00F849D7"/>
    <w:rsid w:val="00F84D73"/>
    <w:rsid w:val="00F86E44"/>
    <w:rsid w:val="00F87238"/>
    <w:rsid w:val="00F90274"/>
    <w:rsid w:val="00F90D28"/>
    <w:rsid w:val="00F9117D"/>
    <w:rsid w:val="00F9222B"/>
    <w:rsid w:val="00F92908"/>
    <w:rsid w:val="00F94FE6"/>
    <w:rsid w:val="00FA0E34"/>
    <w:rsid w:val="00FA13E3"/>
    <w:rsid w:val="00FA15D7"/>
    <w:rsid w:val="00FA2E4C"/>
    <w:rsid w:val="00FA3555"/>
    <w:rsid w:val="00FA4C13"/>
    <w:rsid w:val="00FB043A"/>
    <w:rsid w:val="00FB185B"/>
    <w:rsid w:val="00FB2429"/>
    <w:rsid w:val="00FB2CAB"/>
    <w:rsid w:val="00FB5481"/>
    <w:rsid w:val="00FC0C04"/>
    <w:rsid w:val="00FC2138"/>
    <w:rsid w:val="00FC2C2D"/>
    <w:rsid w:val="00FC3164"/>
    <w:rsid w:val="00FC531B"/>
    <w:rsid w:val="00FC58B8"/>
    <w:rsid w:val="00FC6866"/>
    <w:rsid w:val="00FC730A"/>
    <w:rsid w:val="00FD051D"/>
    <w:rsid w:val="00FD2BF4"/>
    <w:rsid w:val="00FD5E27"/>
    <w:rsid w:val="00FD6974"/>
    <w:rsid w:val="00FD76DA"/>
    <w:rsid w:val="00FD7F58"/>
    <w:rsid w:val="00FE36B5"/>
    <w:rsid w:val="00FE5FD9"/>
    <w:rsid w:val="00FE6DC0"/>
    <w:rsid w:val="00FE6DEF"/>
    <w:rsid w:val="00FF170E"/>
    <w:rsid w:val="00FF19AE"/>
    <w:rsid w:val="00FF1DCB"/>
    <w:rsid w:val="00FF31D8"/>
    <w:rsid w:val="00FF4200"/>
    <w:rsid w:val="00FF48B2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8833F"/>
  <w15:docId w15:val="{8BF6B284-F9F9-4CFB-B440-F926BECD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43E"/>
    <w:pPr>
      <w:spacing w:after="0" w:line="240" w:lineRule="atLeast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47AAA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54336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4336"/>
    <w:rPr>
      <w:rFonts w:ascii="Arial" w:eastAsia="Times New Roman" w:hAnsi="Arial" w:cs="Arial"/>
      <w:noProof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954336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4336"/>
    <w:rPr>
      <w:rFonts w:ascii="Arial" w:eastAsia="Times New Roman" w:hAnsi="Arial" w:cs="Arial"/>
      <w:noProof/>
      <w:lang w:eastAsia="en-GB"/>
    </w:rPr>
  </w:style>
  <w:style w:type="character" w:styleId="Hyperlink">
    <w:name w:val="Hyperlink"/>
    <w:basedOn w:val="DefaultParagraphFont"/>
    <w:uiPriority w:val="99"/>
    <w:unhideWhenUsed/>
    <w:rsid w:val="009543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852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852F6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2F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52F6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2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2F6"/>
    <w:rPr>
      <w:vertAlign w:val="superscript"/>
    </w:rPr>
  </w:style>
  <w:style w:type="character" w:customStyle="1" w:styleId="a">
    <w:name w:val="_"/>
    <w:basedOn w:val="DefaultParagraphFont"/>
    <w:rsid w:val="00E05E15"/>
  </w:style>
  <w:style w:type="character" w:styleId="CommentReference">
    <w:name w:val="annotation reference"/>
    <w:basedOn w:val="DefaultParagraphFont"/>
    <w:uiPriority w:val="99"/>
    <w:semiHidden/>
    <w:unhideWhenUsed/>
    <w:rsid w:val="009E4E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E21"/>
    <w:pPr>
      <w:spacing w:after="0"/>
    </w:pPr>
    <w:rPr>
      <w:rFonts w:ascii="Arial" w:eastAsia="Times New Roman" w:hAnsi="Arial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E21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2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60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697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974"/>
    <w:rPr>
      <w:rFonts w:ascii="Arial" w:eastAsia="Times New Roman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D697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74"/>
    <w:rPr>
      <w:rFonts w:ascii="Arial" w:eastAsia="Times New Roman" w:hAnsi="Arial" w:cs="Times New Roman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27F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824BE"/>
    <w:pPr>
      <w:autoSpaceDE w:val="0"/>
      <w:autoSpaceDN w:val="0"/>
      <w:adjustRightInd w:val="0"/>
      <w:spacing w:line="240" w:lineRule="auto"/>
    </w:pPr>
    <w:rPr>
      <w:rFonts w:eastAsiaTheme="minorHAnsi" w:cs="Arial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824BE"/>
    <w:rPr>
      <w:rFonts w:ascii="Arial" w:hAnsi="Arial" w:cs="Arial"/>
      <w:sz w:val="19"/>
      <w:szCs w:val="19"/>
    </w:rPr>
  </w:style>
  <w:style w:type="character" w:styleId="UnresolvedMention">
    <w:name w:val="Unresolved Mention"/>
    <w:basedOn w:val="DefaultParagraphFont"/>
    <w:uiPriority w:val="99"/>
    <w:semiHidden/>
    <w:unhideWhenUsed/>
    <w:rsid w:val="00F872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7C52"/>
    <w:rPr>
      <w:color w:val="800080" w:themeColor="followedHyperlink"/>
      <w:u w:val="single"/>
    </w:rPr>
  </w:style>
  <w:style w:type="character" w:customStyle="1" w:styleId="DefaultChar">
    <w:name w:val="Default Char"/>
    <w:basedOn w:val="DefaultParagraphFont"/>
    <w:link w:val="Default"/>
    <w:rsid w:val="001A7780"/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76921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3A2BD7"/>
    <w:pPr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0C5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campus\home\home38\nrp104\Abbatoir%20project\1.%20Farmers%20online%20survey\Data\Online%20survey%20data%2022.10.20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ampus\home\home38\nrp104\Abbatoir%20project\1.%20Farmers%20online%20survey\Data\Online%20survey%20data%2001.06.20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Sheet6!$F$1</c:f>
              <c:strCache>
                <c:ptCount val="1"/>
                <c:pt idx="0">
                  <c:v>Cumulative % LSU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Sheet6!$C$2:$C$174</c:f>
              <c:numCache>
                <c:formatCode>General</c:formatCode>
                <c:ptCount val="173"/>
                <c:pt idx="0">
                  <c:v>0.5</c:v>
                </c:pt>
                <c:pt idx="1">
                  <c:v>1.5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5.5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7</c:v>
                </c:pt>
                <c:pt idx="16">
                  <c:v>7</c:v>
                </c:pt>
                <c:pt idx="17">
                  <c:v>7.5</c:v>
                </c:pt>
                <c:pt idx="18">
                  <c:v>8</c:v>
                </c:pt>
                <c:pt idx="19">
                  <c:v>8</c:v>
                </c:pt>
                <c:pt idx="20">
                  <c:v>8</c:v>
                </c:pt>
                <c:pt idx="21">
                  <c:v>8</c:v>
                </c:pt>
                <c:pt idx="22">
                  <c:v>9</c:v>
                </c:pt>
                <c:pt idx="23">
                  <c:v>9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  <c:pt idx="30">
                  <c:v>10</c:v>
                </c:pt>
                <c:pt idx="31">
                  <c:v>10</c:v>
                </c:pt>
                <c:pt idx="32">
                  <c:v>10</c:v>
                </c:pt>
                <c:pt idx="33">
                  <c:v>10</c:v>
                </c:pt>
                <c:pt idx="34">
                  <c:v>10</c:v>
                </c:pt>
                <c:pt idx="35">
                  <c:v>10</c:v>
                </c:pt>
                <c:pt idx="36">
                  <c:v>10</c:v>
                </c:pt>
                <c:pt idx="37">
                  <c:v>11</c:v>
                </c:pt>
                <c:pt idx="38">
                  <c:v>12</c:v>
                </c:pt>
                <c:pt idx="39">
                  <c:v>12</c:v>
                </c:pt>
                <c:pt idx="40">
                  <c:v>12</c:v>
                </c:pt>
                <c:pt idx="41">
                  <c:v>13</c:v>
                </c:pt>
                <c:pt idx="42">
                  <c:v>14</c:v>
                </c:pt>
                <c:pt idx="43">
                  <c:v>14</c:v>
                </c:pt>
                <c:pt idx="44">
                  <c:v>15</c:v>
                </c:pt>
                <c:pt idx="45">
                  <c:v>15</c:v>
                </c:pt>
                <c:pt idx="46">
                  <c:v>15</c:v>
                </c:pt>
                <c:pt idx="47">
                  <c:v>15</c:v>
                </c:pt>
                <c:pt idx="48">
                  <c:v>15</c:v>
                </c:pt>
                <c:pt idx="49">
                  <c:v>15</c:v>
                </c:pt>
                <c:pt idx="50">
                  <c:v>15</c:v>
                </c:pt>
                <c:pt idx="51">
                  <c:v>15</c:v>
                </c:pt>
                <c:pt idx="52">
                  <c:v>15</c:v>
                </c:pt>
                <c:pt idx="53">
                  <c:v>15</c:v>
                </c:pt>
                <c:pt idx="54">
                  <c:v>15</c:v>
                </c:pt>
                <c:pt idx="55">
                  <c:v>15</c:v>
                </c:pt>
                <c:pt idx="56">
                  <c:v>15</c:v>
                </c:pt>
                <c:pt idx="57">
                  <c:v>15</c:v>
                </c:pt>
                <c:pt idx="58">
                  <c:v>16</c:v>
                </c:pt>
                <c:pt idx="59">
                  <c:v>17</c:v>
                </c:pt>
                <c:pt idx="60">
                  <c:v>17</c:v>
                </c:pt>
                <c:pt idx="61">
                  <c:v>17</c:v>
                </c:pt>
                <c:pt idx="62">
                  <c:v>17</c:v>
                </c:pt>
                <c:pt idx="63">
                  <c:v>18</c:v>
                </c:pt>
                <c:pt idx="64">
                  <c:v>18</c:v>
                </c:pt>
                <c:pt idx="65">
                  <c:v>18</c:v>
                </c:pt>
                <c:pt idx="66">
                  <c:v>20</c:v>
                </c:pt>
                <c:pt idx="67">
                  <c:v>20</c:v>
                </c:pt>
                <c:pt idx="68">
                  <c:v>20</c:v>
                </c:pt>
                <c:pt idx="69">
                  <c:v>20</c:v>
                </c:pt>
                <c:pt idx="70">
                  <c:v>20</c:v>
                </c:pt>
                <c:pt idx="71">
                  <c:v>20</c:v>
                </c:pt>
                <c:pt idx="72">
                  <c:v>20</c:v>
                </c:pt>
                <c:pt idx="73">
                  <c:v>20</c:v>
                </c:pt>
                <c:pt idx="74">
                  <c:v>20</c:v>
                </c:pt>
                <c:pt idx="75">
                  <c:v>20</c:v>
                </c:pt>
                <c:pt idx="76">
                  <c:v>20</c:v>
                </c:pt>
                <c:pt idx="77">
                  <c:v>20</c:v>
                </c:pt>
                <c:pt idx="78">
                  <c:v>20</c:v>
                </c:pt>
                <c:pt idx="79">
                  <c:v>20</c:v>
                </c:pt>
                <c:pt idx="80">
                  <c:v>20</c:v>
                </c:pt>
                <c:pt idx="81">
                  <c:v>20</c:v>
                </c:pt>
                <c:pt idx="82">
                  <c:v>20</c:v>
                </c:pt>
                <c:pt idx="83">
                  <c:v>20</c:v>
                </c:pt>
                <c:pt idx="84">
                  <c:v>20</c:v>
                </c:pt>
                <c:pt idx="85">
                  <c:v>20</c:v>
                </c:pt>
                <c:pt idx="86">
                  <c:v>21</c:v>
                </c:pt>
                <c:pt idx="87">
                  <c:v>22</c:v>
                </c:pt>
                <c:pt idx="88">
                  <c:v>23</c:v>
                </c:pt>
                <c:pt idx="89">
                  <c:v>23</c:v>
                </c:pt>
                <c:pt idx="90">
                  <c:v>24</c:v>
                </c:pt>
                <c:pt idx="91">
                  <c:v>25</c:v>
                </c:pt>
                <c:pt idx="92">
                  <c:v>25</c:v>
                </c:pt>
                <c:pt idx="93">
                  <c:v>25</c:v>
                </c:pt>
                <c:pt idx="94">
                  <c:v>25</c:v>
                </c:pt>
                <c:pt idx="95">
                  <c:v>25</c:v>
                </c:pt>
                <c:pt idx="96">
                  <c:v>25</c:v>
                </c:pt>
                <c:pt idx="97">
                  <c:v>25</c:v>
                </c:pt>
                <c:pt idx="98">
                  <c:v>25</c:v>
                </c:pt>
                <c:pt idx="99">
                  <c:v>25</c:v>
                </c:pt>
                <c:pt idx="100">
                  <c:v>25</c:v>
                </c:pt>
                <c:pt idx="101">
                  <c:v>25</c:v>
                </c:pt>
                <c:pt idx="102">
                  <c:v>25</c:v>
                </c:pt>
                <c:pt idx="103">
                  <c:v>26</c:v>
                </c:pt>
                <c:pt idx="104">
                  <c:v>27</c:v>
                </c:pt>
                <c:pt idx="105">
                  <c:v>30</c:v>
                </c:pt>
                <c:pt idx="106">
                  <c:v>30</c:v>
                </c:pt>
                <c:pt idx="107">
                  <c:v>30</c:v>
                </c:pt>
                <c:pt idx="108">
                  <c:v>30</c:v>
                </c:pt>
                <c:pt idx="109">
                  <c:v>30</c:v>
                </c:pt>
                <c:pt idx="110">
                  <c:v>30</c:v>
                </c:pt>
                <c:pt idx="111">
                  <c:v>30</c:v>
                </c:pt>
                <c:pt idx="112">
                  <c:v>30</c:v>
                </c:pt>
                <c:pt idx="113">
                  <c:v>30</c:v>
                </c:pt>
                <c:pt idx="114">
                  <c:v>30</c:v>
                </c:pt>
                <c:pt idx="115">
                  <c:v>30</c:v>
                </c:pt>
                <c:pt idx="116">
                  <c:v>30</c:v>
                </c:pt>
                <c:pt idx="117">
                  <c:v>30</c:v>
                </c:pt>
                <c:pt idx="118">
                  <c:v>30</c:v>
                </c:pt>
                <c:pt idx="119">
                  <c:v>30</c:v>
                </c:pt>
                <c:pt idx="120">
                  <c:v>30</c:v>
                </c:pt>
                <c:pt idx="121">
                  <c:v>32</c:v>
                </c:pt>
                <c:pt idx="122">
                  <c:v>32.4</c:v>
                </c:pt>
                <c:pt idx="123">
                  <c:v>33</c:v>
                </c:pt>
                <c:pt idx="124">
                  <c:v>33</c:v>
                </c:pt>
                <c:pt idx="125">
                  <c:v>34</c:v>
                </c:pt>
                <c:pt idx="126">
                  <c:v>35</c:v>
                </c:pt>
                <c:pt idx="127">
                  <c:v>35</c:v>
                </c:pt>
                <c:pt idx="128">
                  <c:v>35</c:v>
                </c:pt>
                <c:pt idx="129">
                  <c:v>35</c:v>
                </c:pt>
                <c:pt idx="130">
                  <c:v>35</c:v>
                </c:pt>
                <c:pt idx="131">
                  <c:v>35</c:v>
                </c:pt>
                <c:pt idx="132">
                  <c:v>35</c:v>
                </c:pt>
                <c:pt idx="133">
                  <c:v>35</c:v>
                </c:pt>
                <c:pt idx="134">
                  <c:v>35</c:v>
                </c:pt>
                <c:pt idx="135">
                  <c:v>37</c:v>
                </c:pt>
                <c:pt idx="136">
                  <c:v>37</c:v>
                </c:pt>
                <c:pt idx="137">
                  <c:v>38</c:v>
                </c:pt>
                <c:pt idx="138">
                  <c:v>40</c:v>
                </c:pt>
                <c:pt idx="139">
                  <c:v>40</c:v>
                </c:pt>
                <c:pt idx="140">
                  <c:v>40</c:v>
                </c:pt>
                <c:pt idx="141">
                  <c:v>40</c:v>
                </c:pt>
                <c:pt idx="142">
                  <c:v>40</c:v>
                </c:pt>
                <c:pt idx="143">
                  <c:v>40</c:v>
                </c:pt>
                <c:pt idx="144">
                  <c:v>40</c:v>
                </c:pt>
                <c:pt idx="145">
                  <c:v>40</c:v>
                </c:pt>
                <c:pt idx="146">
                  <c:v>40</c:v>
                </c:pt>
                <c:pt idx="147">
                  <c:v>43</c:v>
                </c:pt>
                <c:pt idx="148">
                  <c:v>44</c:v>
                </c:pt>
                <c:pt idx="149">
                  <c:v>45</c:v>
                </c:pt>
                <c:pt idx="150">
                  <c:v>45</c:v>
                </c:pt>
                <c:pt idx="151">
                  <c:v>45</c:v>
                </c:pt>
                <c:pt idx="152">
                  <c:v>45</c:v>
                </c:pt>
                <c:pt idx="153">
                  <c:v>47</c:v>
                </c:pt>
                <c:pt idx="154">
                  <c:v>50</c:v>
                </c:pt>
                <c:pt idx="155">
                  <c:v>50</c:v>
                </c:pt>
                <c:pt idx="156">
                  <c:v>50</c:v>
                </c:pt>
                <c:pt idx="157">
                  <c:v>50</c:v>
                </c:pt>
                <c:pt idx="158">
                  <c:v>50</c:v>
                </c:pt>
                <c:pt idx="159">
                  <c:v>50</c:v>
                </c:pt>
                <c:pt idx="160">
                  <c:v>50</c:v>
                </c:pt>
                <c:pt idx="161">
                  <c:v>50</c:v>
                </c:pt>
                <c:pt idx="162">
                  <c:v>55</c:v>
                </c:pt>
                <c:pt idx="163">
                  <c:v>56</c:v>
                </c:pt>
                <c:pt idx="164">
                  <c:v>57</c:v>
                </c:pt>
                <c:pt idx="165">
                  <c:v>57</c:v>
                </c:pt>
                <c:pt idx="166">
                  <c:v>60</c:v>
                </c:pt>
                <c:pt idx="167">
                  <c:v>60</c:v>
                </c:pt>
                <c:pt idx="168">
                  <c:v>60</c:v>
                </c:pt>
                <c:pt idx="169">
                  <c:v>65</c:v>
                </c:pt>
                <c:pt idx="170">
                  <c:v>83</c:v>
                </c:pt>
                <c:pt idx="171">
                  <c:v>100</c:v>
                </c:pt>
                <c:pt idx="172">
                  <c:v>100</c:v>
                </c:pt>
              </c:numCache>
            </c:numRef>
          </c:xVal>
          <c:yVal>
            <c:numRef>
              <c:f>Sheet6!$F$2:$F$174</c:f>
              <c:numCache>
                <c:formatCode>General</c:formatCode>
                <c:ptCount val="173"/>
                <c:pt idx="0">
                  <c:v>2.8049546719325018E-2</c:v>
                </c:pt>
                <c:pt idx="1">
                  <c:v>0.29732519522484524</c:v>
                </c:pt>
                <c:pt idx="2">
                  <c:v>0.31527690512521322</c:v>
                </c:pt>
                <c:pt idx="3">
                  <c:v>0.36015617987613324</c:v>
                </c:pt>
                <c:pt idx="4">
                  <c:v>0.49479400412889335</c:v>
                </c:pt>
                <c:pt idx="5">
                  <c:v>0.68553092182030351</c:v>
                </c:pt>
                <c:pt idx="6">
                  <c:v>1.1343236693295038</c:v>
                </c:pt>
                <c:pt idx="7">
                  <c:v>1.1477874517547797</c:v>
                </c:pt>
                <c:pt idx="8">
                  <c:v>1.3048649133829997</c:v>
                </c:pt>
                <c:pt idx="9">
                  <c:v>1.6683870388654518</c:v>
                </c:pt>
                <c:pt idx="10">
                  <c:v>12.663809352840859</c:v>
                </c:pt>
                <c:pt idx="11">
                  <c:v>13.336998474104659</c:v>
                </c:pt>
                <c:pt idx="12">
                  <c:v>13.404317386231039</c:v>
                </c:pt>
                <c:pt idx="13">
                  <c:v>13.51651557310834</c:v>
                </c:pt>
                <c:pt idx="14">
                  <c:v>13.718472309487479</c:v>
                </c:pt>
                <c:pt idx="15">
                  <c:v>13.736424019387847</c:v>
                </c:pt>
                <c:pt idx="16">
                  <c:v>13.812718786464412</c:v>
                </c:pt>
                <c:pt idx="17">
                  <c:v>13.891257517278522</c:v>
                </c:pt>
                <c:pt idx="18">
                  <c:v>13.927160937079258</c:v>
                </c:pt>
                <c:pt idx="19">
                  <c:v>13.994479849205637</c:v>
                </c:pt>
                <c:pt idx="20">
                  <c:v>14.070774616282202</c:v>
                </c:pt>
                <c:pt idx="21">
                  <c:v>14.250291715285883</c:v>
                </c:pt>
                <c:pt idx="22">
                  <c:v>14.362489902163183</c:v>
                </c:pt>
                <c:pt idx="23">
                  <c:v>14.474688089040484</c:v>
                </c:pt>
                <c:pt idx="24">
                  <c:v>14.497127726415943</c:v>
                </c:pt>
                <c:pt idx="25">
                  <c:v>14.519567363791403</c:v>
                </c:pt>
                <c:pt idx="26">
                  <c:v>14.586886275917783</c:v>
                </c:pt>
                <c:pt idx="27">
                  <c:v>14.667668970469439</c:v>
                </c:pt>
                <c:pt idx="28">
                  <c:v>14.757427519971278</c:v>
                </c:pt>
                <c:pt idx="29">
                  <c:v>14.849430033210664</c:v>
                </c:pt>
                <c:pt idx="30">
                  <c:v>14.978457948119559</c:v>
                </c:pt>
                <c:pt idx="31">
                  <c:v>15.113095772372318</c:v>
                </c:pt>
                <c:pt idx="32">
                  <c:v>15.247733596625078</c:v>
                </c:pt>
                <c:pt idx="33">
                  <c:v>15.427250695628759</c:v>
                </c:pt>
                <c:pt idx="34">
                  <c:v>15.651647069383358</c:v>
                </c:pt>
                <c:pt idx="35">
                  <c:v>16.279956915896239</c:v>
                </c:pt>
                <c:pt idx="36">
                  <c:v>17.96292971905574</c:v>
                </c:pt>
                <c:pt idx="37">
                  <c:v>18.429674176465308</c:v>
                </c:pt>
                <c:pt idx="38">
                  <c:v>18.456601741315861</c:v>
                </c:pt>
                <c:pt idx="39">
                  <c:v>18.546360290817702</c:v>
                </c:pt>
                <c:pt idx="40">
                  <c:v>19.758100709092542</c:v>
                </c:pt>
                <c:pt idx="41">
                  <c:v>20.902522215241003</c:v>
                </c:pt>
                <c:pt idx="42">
                  <c:v>21.171797863746523</c:v>
                </c:pt>
                <c:pt idx="43">
                  <c:v>21.575711336504803</c:v>
                </c:pt>
                <c:pt idx="44">
                  <c:v>21.593663046405172</c:v>
                </c:pt>
                <c:pt idx="45">
                  <c:v>21.625078538730815</c:v>
                </c:pt>
                <c:pt idx="46">
                  <c:v>21.67893366843192</c:v>
                </c:pt>
                <c:pt idx="47">
                  <c:v>21.759716362983575</c:v>
                </c:pt>
                <c:pt idx="48">
                  <c:v>21.840499057535229</c:v>
                </c:pt>
                <c:pt idx="49">
                  <c:v>21.93025760703707</c:v>
                </c:pt>
                <c:pt idx="50">
                  <c:v>22.028992011489095</c:v>
                </c:pt>
                <c:pt idx="51">
                  <c:v>22.186069473117314</c:v>
                </c:pt>
                <c:pt idx="52">
                  <c:v>22.354366753433265</c:v>
                </c:pt>
                <c:pt idx="53">
                  <c:v>22.522664033749216</c:v>
                </c:pt>
                <c:pt idx="54">
                  <c:v>22.747060407503817</c:v>
                </c:pt>
                <c:pt idx="55">
                  <c:v>23.094874786823446</c:v>
                </c:pt>
                <c:pt idx="56">
                  <c:v>23.534691679382462</c:v>
                </c:pt>
                <c:pt idx="57">
                  <c:v>24.566914998653623</c:v>
                </c:pt>
                <c:pt idx="58">
                  <c:v>30.984651288035188</c:v>
                </c:pt>
                <c:pt idx="59">
                  <c:v>31.213535589264879</c:v>
                </c:pt>
                <c:pt idx="60">
                  <c:v>31.662328336774078</c:v>
                </c:pt>
                <c:pt idx="61">
                  <c:v>32.133560721658739</c:v>
                </c:pt>
                <c:pt idx="62">
                  <c:v>32.806749842922542</c:v>
                </c:pt>
                <c:pt idx="63">
                  <c:v>32.851629117673461</c:v>
                </c:pt>
                <c:pt idx="64">
                  <c:v>35.656583789605961</c:v>
                </c:pt>
                <c:pt idx="65">
                  <c:v>39.415223049995511</c:v>
                </c:pt>
                <c:pt idx="66">
                  <c:v>39.448882506058702</c:v>
                </c:pt>
                <c:pt idx="67">
                  <c:v>39.493761780809621</c:v>
                </c:pt>
                <c:pt idx="68">
                  <c:v>39.579032402836368</c:v>
                </c:pt>
                <c:pt idx="69">
                  <c:v>39.668790952338206</c:v>
                </c:pt>
                <c:pt idx="70">
                  <c:v>39.798940849115873</c:v>
                </c:pt>
                <c:pt idx="71">
                  <c:v>39.933578673368636</c:v>
                </c:pt>
                <c:pt idx="72">
                  <c:v>40.0682164976214</c:v>
                </c:pt>
                <c:pt idx="73">
                  <c:v>40.225293959249619</c:v>
                </c:pt>
                <c:pt idx="74">
                  <c:v>40.494569607755139</c:v>
                </c:pt>
                <c:pt idx="75">
                  <c:v>40.786284893636122</c:v>
                </c:pt>
                <c:pt idx="76">
                  <c:v>41.122879454268023</c:v>
                </c:pt>
                <c:pt idx="77">
                  <c:v>41.567184274302129</c:v>
                </c:pt>
                <c:pt idx="78">
                  <c:v>42.105735571313168</c:v>
                </c:pt>
                <c:pt idx="79">
                  <c:v>42.702629925500403</c:v>
                </c:pt>
                <c:pt idx="80">
                  <c:v>43.488017233641507</c:v>
                </c:pt>
                <c:pt idx="81">
                  <c:v>44.329503635221258</c:v>
                </c:pt>
                <c:pt idx="82">
                  <c:v>45.227089130239655</c:v>
                </c:pt>
                <c:pt idx="83">
                  <c:v>46.573467372767254</c:v>
                </c:pt>
                <c:pt idx="84">
                  <c:v>48.032043802172154</c:v>
                </c:pt>
                <c:pt idx="85">
                  <c:v>50.276007539718158</c:v>
                </c:pt>
                <c:pt idx="86">
                  <c:v>51.240911946862937</c:v>
                </c:pt>
                <c:pt idx="87">
                  <c:v>51.2633515842384</c:v>
                </c:pt>
                <c:pt idx="88">
                  <c:v>51.330670496364782</c:v>
                </c:pt>
                <c:pt idx="89">
                  <c:v>51.420429045866619</c:v>
                </c:pt>
                <c:pt idx="90">
                  <c:v>51.465308320617538</c:v>
                </c:pt>
                <c:pt idx="91">
                  <c:v>51.501211740418277</c:v>
                </c:pt>
                <c:pt idx="92">
                  <c:v>51.546091015169196</c:v>
                </c:pt>
                <c:pt idx="93">
                  <c:v>51.635849564671034</c:v>
                </c:pt>
                <c:pt idx="94">
                  <c:v>51.748047751548334</c:v>
                </c:pt>
                <c:pt idx="95">
                  <c:v>51.972444125302935</c:v>
                </c:pt>
                <c:pt idx="96">
                  <c:v>52.196840499057537</c:v>
                </c:pt>
                <c:pt idx="97">
                  <c:v>52.578314334440357</c:v>
                </c:pt>
                <c:pt idx="98">
                  <c:v>53.027107081949559</c:v>
                </c:pt>
                <c:pt idx="99">
                  <c:v>53.588098016336062</c:v>
                </c:pt>
                <c:pt idx="100">
                  <c:v>54.59788169823176</c:v>
                </c:pt>
                <c:pt idx="101">
                  <c:v>56.841845435777763</c:v>
                </c:pt>
                <c:pt idx="102">
                  <c:v>62.047841306884486</c:v>
                </c:pt>
                <c:pt idx="103">
                  <c:v>62.101696436585591</c:v>
                </c:pt>
                <c:pt idx="104">
                  <c:v>62.254285970738721</c:v>
                </c:pt>
                <c:pt idx="105">
                  <c:v>62.276725608114184</c:v>
                </c:pt>
                <c:pt idx="106">
                  <c:v>62.317116955390013</c:v>
                </c:pt>
                <c:pt idx="107">
                  <c:v>62.357508302665842</c:v>
                </c:pt>
                <c:pt idx="108">
                  <c:v>62.411363432366947</c:v>
                </c:pt>
                <c:pt idx="109">
                  <c:v>62.478682344493329</c:v>
                </c:pt>
                <c:pt idx="110">
                  <c:v>62.559465039044987</c:v>
                </c:pt>
                <c:pt idx="111">
                  <c:v>62.671663225922288</c:v>
                </c:pt>
                <c:pt idx="112">
                  <c:v>62.783861412799588</c:v>
                </c:pt>
                <c:pt idx="113">
                  <c:v>62.927475092002531</c:v>
                </c:pt>
                <c:pt idx="114">
                  <c:v>63.151871465757132</c:v>
                </c:pt>
                <c:pt idx="115">
                  <c:v>63.376267839511733</c:v>
                </c:pt>
                <c:pt idx="116">
                  <c:v>63.701642581455907</c:v>
                </c:pt>
                <c:pt idx="117">
                  <c:v>64.071896598151</c:v>
                </c:pt>
                <c:pt idx="118">
                  <c:v>64.520689345660202</c:v>
                </c:pt>
                <c:pt idx="119">
                  <c:v>64.99192173054486</c:v>
                </c:pt>
                <c:pt idx="120">
                  <c:v>68.873978996499446</c:v>
                </c:pt>
                <c:pt idx="121">
                  <c:v>69.008616820752209</c:v>
                </c:pt>
                <c:pt idx="122">
                  <c:v>69.120815007629503</c:v>
                </c:pt>
                <c:pt idx="123">
                  <c:v>69.143254645004959</c:v>
                </c:pt>
                <c:pt idx="124">
                  <c:v>71.414145947401508</c:v>
                </c:pt>
                <c:pt idx="125">
                  <c:v>71.526344134278801</c:v>
                </c:pt>
                <c:pt idx="126">
                  <c:v>71.544295844179175</c:v>
                </c:pt>
                <c:pt idx="127">
                  <c:v>71.56673548155463</c:v>
                </c:pt>
                <c:pt idx="128">
                  <c:v>71.656494031056468</c:v>
                </c:pt>
                <c:pt idx="129">
                  <c:v>71.768692217933761</c:v>
                </c:pt>
                <c:pt idx="130">
                  <c:v>71.925769679561981</c:v>
                </c:pt>
                <c:pt idx="131">
                  <c:v>72.0828471411902</c:v>
                </c:pt>
                <c:pt idx="132">
                  <c:v>72.307243514944801</c:v>
                </c:pt>
                <c:pt idx="133">
                  <c:v>72.531639888699402</c:v>
                </c:pt>
                <c:pt idx="134">
                  <c:v>72.800915537204929</c:v>
                </c:pt>
                <c:pt idx="135">
                  <c:v>72.845794811955855</c:v>
                </c:pt>
                <c:pt idx="136">
                  <c:v>72.890674086706781</c:v>
                </c:pt>
                <c:pt idx="137">
                  <c:v>72.957992998833163</c:v>
                </c:pt>
                <c:pt idx="138">
                  <c:v>72.991652454896354</c:v>
                </c:pt>
                <c:pt idx="139">
                  <c:v>73.058971367022735</c:v>
                </c:pt>
                <c:pt idx="140">
                  <c:v>73.148729916524573</c:v>
                </c:pt>
                <c:pt idx="141">
                  <c:v>73.287855668252419</c:v>
                </c:pt>
                <c:pt idx="142">
                  <c:v>73.444933129880638</c:v>
                </c:pt>
                <c:pt idx="143">
                  <c:v>73.673817431110336</c:v>
                </c:pt>
                <c:pt idx="144">
                  <c:v>74.010411991742231</c:v>
                </c:pt>
                <c:pt idx="145">
                  <c:v>74.683601113006034</c:v>
                </c:pt>
                <c:pt idx="146">
                  <c:v>77.937348532447743</c:v>
                </c:pt>
                <c:pt idx="147">
                  <c:v>77.959788169823199</c:v>
                </c:pt>
                <c:pt idx="148">
                  <c:v>78.422044699757677</c:v>
                </c:pt>
                <c:pt idx="149">
                  <c:v>78.507315321784432</c:v>
                </c:pt>
                <c:pt idx="150">
                  <c:v>78.594829907548728</c:v>
                </c:pt>
                <c:pt idx="151">
                  <c:v>79.268019028812532</c:v>
                </c:pt>
                <c:pt idx="152">
                  <c:v>80.603177452652403</c:v>
                </c:pt>
                <c:pt idx="153">
                  <c:v>80.648056727403329</c:v>
                </c:pt>
                <c:pt idx="154">
                  <c:v>80.670496364778785</c:v>
                </c:pt>
                <c:pt idx="155">
                  <c:v>80.782694551656078</c:v>
                </c:pt>
                <c:pt idx="156">
                  <c:v>81.007090925410679</c:v>
                </c:pt>
                <c:pt idx="157">
                  <c:v>81.276366573916206</c:v>
                </c:pt>
                <c:pt idx="158">
                  <c:v>81.859797145678172</c:v>
                </c:pt>
                <c:pt idx="159">
                  <c:v>82.465667354815594</c:v>
                </c:pt>
                <c:pt idx="160">
                  <c:v>83.363252849833998</c:v>
                </c:pt>
                <c:pt idx="161">
                  <c:v>88.524369446189809</c:v>
                </c:pt>
                <c:pt idx="162">
                  <c:v>89.107800017951774</c:v>
                </c:pt>
                <c:pt idx="163">
                  <c:v>90.22978188672478</c:v>
                </c:pt>
                <c:pt idx="164">
                  <c:v>90.319540436226617</c:v>
                </c:pt>
                <c:pt idx="165">
                  <c:v>90.76833318373582</c:v>
                </c:pt>
                <c:pt idx="166">
                  <c:v>90.813212458486746</c:v>
                </c:pt>
                <c:pt idx="167">
                  <c:v>90.858091733237671</c:v>
                </c:pt>
                <c:pt idx="168">
                  <c:v>90.936630464051788</c:v>
                </c:pt>
                <c:pt idx="169">
                  <c:v>91.250785387308227</c:v>
                </c:pt>
                <c:pt idx="170">
                  <c:v>91.562696346827124</c:v>
                </c:pt>
                <c:pt idx="171">
                  <c:v>91.697334171079888</c:v>
                </c:pt>
                <c:pt idx="172">
                  <c:v>100.00000000000009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E07-483C-97F1-5D1056E90B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9451648"/>
        <c:axId val="289177984"/>
      </c:scatterChart>
      <c:valAx>
        <c:axId val="24945164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Distance travelled to abattoir from farm (miles)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a-DK"/>
          </a:p>
        </c:txPr>
        <c:crossAx val="289177984"/>
        <c:crosses val="autoZero"/>
        <c:crossBetween val="midCat"/>
      </c:valAx>
      <c:valAx>
        <c:axId val="28917798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% of LSUs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a-DK"/>
          </a:p>
        </c:txPr>
        <c:crossAx val="2494516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da-DK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'Cumulative distribution plots'!$G$1</c:f>
              <c:strCache>
                <c:ptCount val="1"/>
                <c:pt idx="0">
                  <c:v>% of farmers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'Cumulative distribution plots'!$C$2:$C$182</c:f>
              <c:numCache>
                <c:formatCode>General</c:formatCode>
                <c:ptCount val="181"/>
                <c:pt idx="0">
                  <c:v>0.5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5.5</c:v>
                </c:pt>
                <c:pt idx="15">
                  <c:v>6</c:v>
                </c:pt>
                <c:pt idx="16">
                  <c:v>6</c:v>
                </c:pt>
                <c:pt idx="17">
                  <c:v>6</c:v>
                </c:pt>
                <c:pt idx="18">
                  <c:v>7</c:v>
                </c:pt>
                <c:pt idx="19">
                  <c:v>7</c:v>
                </c:pt>
                <c:pt idx="20">
                  <c:v>7.5</c:v>
                </c:pt>
                <c:pt idx="21">
                  <c:v>8</c:v>
                </c:pt>
                <c:pt idx="22">
                  <c:v>8</c:v>
                </c:pt>
                <c:pt idx="23">
                  <c:v>8</c:v>
                </c:pt>
                <c:pt idx="24">
                  <c:v>8</c:v>
                </c:pt>
                <c:pt idx="25">
                  <c:v>9</c:v>
                </c:pt>
                <c:pt idx="26">
                  <c:v>9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  <c:pt idx="30">
                  <c:v>10</c:v>
                </c:pt>
                <c:pt idx="31">
                  <c:v>10</c:v>
                </c:pt>
                <c:pt idx="32">
                  <c:v>10</c:v>
                </c:pt>
                <c:pt idx="33">
                  <c:v>10</c:v>
                </c:pt>
                <c:pt idx="34">
                  <c:v>10</c:v>
                </c:pt>
                <c:pt idx="35">
                  <c:v>10</c:v>
                </c:pt>
                <c:pt idx="36">
                  <c:v>10</c:v>
                </c:pt>
                <c:pt idx="37">
                  <c:v>10</c:v>
                </c:pt>
                <c:pt idx="38">
                  <c:v>10</c:v>
                </c:pt>
                <c:pt idx="39">
                  <c:v>10</c:v>
                </c:pt>
                <c:pt idx="40">
                  <c:v>11</c:v>
                </c:pt>
                <c:pt idx="41">
                  <c:v>12</c:v>
                </c:pt>
                <c:pt idx="42">
                  <c:v>12</c:v>
                </c:pt>
                <c:pt idx="43">
                  <c:v>12</c:v>
                </c:pt>
                <c:pt idx="44">
                  <c:v>13</c:v>
                </c:pt>
                <c:pt idx="45">
                  <c:v>14</c:v>
                </c:pt>
                <c:pt idx="46">
                  <c:v>14</c:v>
                </c:pt>
                <c:pt idx="47">
                  <c:v>14</c:v>
                </c:pt>
                <c:pt idx="48">
                  <c:v>15</c:v>
                </c:pt>
                <c:pt idx="49">
                  <c:v>15</c:v>
                </c:pt>
                <c:pt idx="50">
                  <c:v>15</c:v>
                </c:pt>
                <c:pt idx="51">
                  <c:v>15</c:v>
                </c:pt>
                <c:pt idx="52">
                  <c:v>15</c:v>
                </c:pt>
                <c:pt idx="53">
                  <c:v>15</c:v>
                </c:pt>
                <c:pt idx="54">
                  <c:v>15</c:v>
                </c:pt>
                <c:pt idx="55">
                  <c:v>15</c:v>
                </c:pt>
                <c:pt idx="56">
                  <c:v>15</c:v>
                </c:pt>
                <c:pt idx="57">
                  <c:v>15</c:v>
                </c:pt>
                <c:pt idx="58">
                  <c:v>15</c:v>
                </c:pt>
                <c:pt idx="59">
                  <c:v>15</c:v>
                </c:pt>
                <c:pt idx="60">
                  <c:v>15</c:v>
                </c:pt>
                <c:pt idx="61">
                  <c:v>15</c:v>
                </c:pt>
                <c:pt idx="62">
                  <c:v>16</c:v>
                </c:pt>
                <c:pt idx="63">
                  <c:v>17</c:v>
                </c:pt>
                <c:pt idx="64">
                  <c:v>17</c:v>
                </c:pt>
                <c:pt idx="65">
                  <c:v>17</c:v>
                </c:pt>
                <c:pt idx="66">
                  <c:v>17</c:v>
                </c:pt>
                <c:pt idx="67">
                  <c:v>17</c:v>
                </c:pt>
                <c:pt idx="68">
                  <c:v>18</c:v>
                </c:pt>
                <c:pt idx="69">
                  <c:v>18</c:v>
                </c:pt>
                <c:pt idx="70">
                  <c:v>18</c:v>
                </c:pt>
                <c:pt idx="71">
                  <c:v>20</c:v>
                </c:pt>
                <c:pt idx="72">
                  <c:v>20</c:v>
                </c:pt>
                <c:pt idx="73">
                  <c:v>20</c:v>
                </c:pt>
                <c:pt idx="74">
                  <c:v>20</c:v>
                </c:pt>
                <c:pt idx="75">
                  <c:v>20</c:v>
                </c:pt>
                <c:pt idx="76">
                  <c:v>20</c:v>
                </c:pt>
                <c:pt idx="77">
                  <c:v>20</c:v>
                </c:pt>
                <c:pt idx="78">
                  <c:v>20</c:v>
                </c:pt>
                <c:pt idx="79">
                  <c:v>20</c:v>
                </c:pt>
                <c:pt idx="80">
                  <c:v>20</c:v>
                </c:pt>
                <c:pt idx="81">
                  <c:v>20</c:v>
                </c:pt>
                <c:pt idx="82">
                  <c:v>20</c:v>
                </c:pt>
                <c:pt idx="83">
                  <c:v>20</c:v>
                </c:pt>
                <c:pt idx="84">
                  <c:v>20</c:v>
                </c:pt>
                <c:pt idx="85">
                  <c:v>20</c:v>
                </c:pt>
                <c:pt idx="86">
                  <c:v>20</c:v>
                </c:pt>
                <c:pt idx="87">
                  <c:v>20</c:v>
                </c:pt>
                <c:pt idx="88">
                  <c:v>20</c:v>
                </c:pt>
                <c:pt idx="89">
                  <c:v>20</c:v>
                </c:pt>
                <c:pt idx="90">
                  <c:v>20</c:v>
                </c:pt>
                <c:pt idx="91">
                  <c:v>21</c:v>
                </c:pt>
                <c:pt idx="92">
                  <c:v>22</c:v>
                </c:pt>
                <c:pt idx="93">
                  <c:v>23</c:v>
                </c:pt>
                <c:pt idx="94">
                  <c:v>23</c:v>
                </c:pt>
                <c:pt idx="95">
                  <c:v>24</c:v>
                </c:pt>
                <c:pt idx="96">
                  <c:v>25</c:v>
                </c:pt>
                <c:pt idx="97">
                  <c:v>25</c:v>
                </c:pt>
                <c:pt idx="98">
                  <c:v>25</c:v>
                </c:pt>
                <c:pt idx="99">
                  <c:v>25</c:v>
                </c:pt>
                <c:pt idx="100">
                  <c:v>25</c:v>
                </c:pt>
                <c:pt idx="101">
                  <c:v>25</c:v>
                </c:pt>
                <c:pt idx="102">
                  <c:v>25</c:v>
                </c:pt>
                <c:pt idx="103">
                  <c:v>25</c:v>
                </c:pt>
                <c:pt idx="104">
                  <c:v>25</c:v>
                </c:pt>
                <c:pt idx="105">
                  <c:v>25</c:v>
                </c:pt>
                <c:pt idx="106">
                  <c:v>25</c:v>
                </c:pt>
                <c:pt idx="107">
                  <c:v>25</c:v>
                </c:pt>
                <c:pt idx="108">
                  <c:v>25</c:v>
                </c:pt>
                <c:pt idx="109">
                  <c:v>26</c:v>
                </c:pt>
                <c:pt idx="110">
                  <c:v>27</c:v>
                </c:pt>
                <c:pt idx="111">
                  <c:v>30</c:v>
                </c:pt>
                <c:pt idx="112">
                  <c:v>30</c:v>
                </c:pt>
                <c:pt idx="113">
                  <c:v>30</c:v>
                </c:pt>
                <c:pt idx="114">
                  <c:v>30</c:v>
                </c:pt>
                <c:pt idx="115">
                  <c:v>30</c:v>
                </c:pt>
                <c:pt idx="116">
                  <c:v>30</c:v>
                </c:pt>
                <c:pt idx="117">
                  <c:v>30</c:v>
                </c:pt>
                <c:pt idx="118">
                  <c:v>30</c:v>
                </c:pt>
                <c:pt idx="119">
                  <c:v>30</c:v>
                </c:pt>
                <c:pt idx="120">
                  <c:v>30</c:v>
                </c:pt>
                <c:pt idx="121">
                  <c:v>30</c:v>
                </c:pt>
                <c:pt idx="122">
                  <c:v>30</c:v>
                </c:pt>
                <c:pt idx="123">
                  <c:v>30</c:v>
                </c:pt>
                <c:pt idx="124">
                  <c:v>30</c:v>
                </c:pt>
                <c:pt idx="125">
                  <c:v>30</c:v>
                </c:pt>
                <c:pt idx="126">
                  <c:v>30</c:v>
                </c:pt>
                <c:pt idx="127">
                  <c:v>30</c:v>
                </c:pt>
                <c:pt idx="128">
                  <c:v>32</c:v>
                </c:pt>
                <c:pt idx="129">
                  <c:v>32.4</c:v>
                </c:pt>
                <c:pt idx="130">
                  <c:v>33</c:v>
                </c:pt>
                <c:pt idx="131">
                  <c:v>33</c:v>
                </c:pt>
                <c:pt idx="132">
                  <c:v>34</c:v>
                </c:pt>
                <c:pt idx="133">
                  <c:v>35</c:v>
                </c:pt>
                <c:pt idx="134">
                  <c:v>35</c:v>
                </c:pt>
                <c:pt idx="135">
                  <c:v>35</c:v>
                </c:pt>
                <c:pt idx="136">
                  <c:v>35</c:v>
                </c:pt>
                <c:pt idx="137">
                  <c:v>35</c:v>
                </c:pt>
                <c:pt idx="138">
                  <c:v>35</c:v>
                </c:pt>
                <c:pt idx="139">
                  <c:v>35</c:v>
                </c:pt>
                <c:pt idx="140">
                  <c:v>35</c:v>
                </c:pt>
                <c:pt idx="141">
                  <c:v>35</c:v>
                </c:pt>
                <c:pt idx="142">
                  <c:v>37</c:v>
                </c:pt>
                <c:pt idx="143">
                  <c:v>37</c:v>
                </c:pt>
                <c:pt idx="144">
                  <c:v>38</c:v>
                </c:pt>
                <c:pt idx="145">
                  <c:v>40</c:v>
                </c:pt>
                <c:pt idx="146">
                  <c:v>40</c:v>
                </c:pt>
                <c:pt idx="147">
                  <c:v>40</c:v>
                </c:pt>
                <c:pt idx="148">
                  <c:v>40</c:v>
                </c:pt>
                <c:pt idx="149">
                  <c:v>40</c:v>
                </c:pt>
                <c:pt idx="150">
                  <c:v>40</c:v>
                </c:pt>
                <c:pt idx="151">
                  <c:v>40</c:v>
                </c:pt>
                <c:pt idx="152">
                  <c:v>40</c:v>
                </c:pt>
                <c:pt idx="153">
                  <c:v>40</c:v>
                </c:pt>
                <c:pt idx="154">
                  <c:v>43</c:v>
                </c:pt>
                <c:pt idx="155">
                  <c:v>44</c:v>
                </c:pt>
                <c:pt idx="156">
                  <c:v>45</c:v>
                </c:pt>
                <c:pt idx="157">
                  <c:v>45</c:v>
                </c:pt>
                <c:pt idx="158">
                  <c:v>45</c:v>
                </c:pt>
                <c:pt idx="159">
                  <c:v>45</c:v>
                </c:pt>
                <c:pt idx="160">
                  <c:v>47</c:v>
                </c:pt>
                <c:pt idx="161">
                  <c:v>50</c:v>
                </c:pt>
                <c:pt idx="162">
                  <c:v>50</c:v>
                </c:pt>
                <c:pt idx="163">
                  <c:v>50</c:v>
                </c:pt>
                <c:pt idx="164">
                  <c:v>50</c:v>
                </c:pt>
                <c:pt idx="165">
                  <c:v>50</c:v>
                </c:pt>
                <c:pt idx="166">
                  <c:v>50</c:v>
                </c:pt>
                <c:pt idx="167">
                  <c:v>50</c:v>
                </c:pt>
                <c:pt idx="168">
                  <c:v>50</c:v>
                </c:pt>
                <c:pt idx="169">
                  <c:v>55</c:v>
                </c:pt>
                <c:pt idx="170">
                  <c:v>56</c:v>
                </c:pt>
                <c:pt idx="171">
                  <c:v>57</c:v>
                </c:pt>
                <c:pt idx="172">
                  <c:v>57</c:v>
                </c:pt>
                <c:pt idx="173">
                  <c:v>60</c:v>
                </c:pt>
                <c:pt idx="174">
                  <c:v>60</c:v>
                </c:pt>
                <c:pt idx="175">
                  <c:v>60</c:v>
                </c:pt>
                <c:pt idx="176">
                  <c:v>65</c:v>
                </c:pt>
                <c:pt idx="177">
                  <c:v>83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</c:numCache>
            </c:numRef>
          </c:xVal>
          <c:yVal>
            <c:numRef>
              <c:f>'Cumulative distribution plots'!$G$2:$G$182</c:f>
              <c:numCache>
                <c:formatCode>General</c:formatCode>
                <c:ptCount val="181"/>
                <c:pt idx="0">
                  <c:v>0.55248618784530379</c:v>
                </c:pt>
                <c:pt idx="1">
                  <c:v>1.1049723756906076</c:v>
                </c:pt>
                <c:pt idx="2">
                  <c:v>1.6574585635359116</c:v>
                </c:pt>
                <c:pt idx="3">
                  <c:v>2.2099447513812152</c:v>
                </c:pt>
                <c:pt idx="4">
                  <c:v>2.7624309392265194</c:v>
                </c:pt>
                <c:pt idx="5">
                  <c:v>3.3149171270718232</c:v>
                </c:pt>
                <c:pt idx="6">
                  <c:v>3.867403314917127</c:v>
                </c:pt>
                <c:pt idx="7">
                  <c:v>4.4198895027624303</c:v>
                </c:pt>
                <c:pt idx="8">
                  <c:v>4.972375690607735</c:v>
                </c:pt>
                <c:pt idx="9">
                  <c:v>5.5248618784530388</c:v>
                </c:pt>
                <c:pt idx="10">
                  <c:v>6.0773480662983426</c:v>
                </c:pt>
                <c:pt idx="11">
                  <c:v>6.6298342541436464</c:v>
                </c:pt>
                <c:pt idx="12">
                  <c:v>7.1823204419889501</c:v>
                </c:pt>
                <c:pt idx="13">
                  <c:v>7.7348066298342539</c:v>
                </c:pt>
                <c:pt idx="14">
                  <c:v>8.2872928176795568</c:v>
                </c:pt>
                <c:pt idx="15">
                  <c:v>8.8397790055248606</c:v>
                </c:pt>
                <c:pt idx="16">
                  <c:v>9.3922651933701662</c:v>
                </c:pt>
                <c:pt idx="17">
                  <c:v>9.94475138121547</c:v>
                </c:pt>
                <c:pt idx="18">
                  <c:v>10.497237569060774</c:v>
                </c:pt>
                <c:pt idx="19">
                  <c:v>11.049723756906078</c:v>
                </c:pt>
                <c:pt idx="20">
                  <c:v>11.602209944751381</c:v>
                </c:pt>
                <c:pt idx="21">
                  <c:v>12.154696132596685</c:v>
                </c:pt>
                <c:pt idx="22">
                  <c:v>12.707182320441991</c:v>
                </c:pt>
                <c:pt idx="23">
                  <c:v>13.259668508287293</c:v>
                </c:pt>
                <c:pt idx="24">
                  <c:v>13.812154696132595</c:v>
                </c:pt>
                <c:pt idx="25">
                  <c:v>14.364640883977897</c:v>
                </c:pt>
                <c:pt idx="26">
                  <c:v>14.917127071823199</c:v>
                </c:pt>
                <c:pt idx="27">
                  <c:v>15.469613259668503</c:v>
                </c:pt>
                <c:pt idx="28">
                  <c:v>16.022099447513803</c:v>
                </c:pt>
                <c:pt idx="29">
                  <c:v>16.574585635359107</c:v>
                </c:pt>
                <c:pt idx="30">
                  <c:v>17.12707182320441</c:v>
                </c:pt>
                <c:pt idx="31">
                  <c:v>17.679558011049711</c:v>
                </c:pt>
                <c:pt idx="32">
                  <c:v>18.232044198895014</c:v>
                </c:pt>
                <c:pt idx="33">
                  <c:v>18.784530386740318</c:v>
                </c:pt>
                <c:pt idx="34">
                  <c:v>19.337016574585618</c:v>
                </c:pt>
                <c:pt idx="35">
                  <c:v>19.889502762430922</c:v>
                </c:pt>
                <c:pt idx="36">
                  <c:v>20.441988950276226</c:v>
                </c:pt>
                <c:pt idx="37">
                  <c:v>20.994475138121526</c:v>
                </c:pt>
                <c:pt idx="38">
                  <c:v>21.54696132596683</c:v>
                </c:pt>
                <c:pt idx="39">
                  <c:v>22.09944751381213</c:v>
                </c:pt>
                <c:pt idx="40">
                  <c:v>22.651933701657434</c:v>
                </c:pt>
                <c:pt idx="41">
                  <c:v>23.204419889502738</c:v>
                </c:pt>
                <c:pt idx="42">
                  <c:v>23.756906077348038</c:v>
                </c:pt>
                <c:pt idx="43">
                  <c:v>24.309392265193342</c:v>
                </c:pt>
                <c:pt idx="44">
                  <c:v>24.861878453038642</c:v>
                </c:pt>
                <c:pt idx="45">
                  <c:v>25.414364640883946</c:v>
                </c:pt>
                <c:pt idx="46">
                  <c:v>25.96685082872925</c:v>
                </c:pt>
                <c:pt idx="47">
                  <c:v>26.51933701657455</c:v>
                </c:pt>
                <c:pt idx="48">
                  <c:v>27.071823204419854</c:v>
                </c:pt>
                <c:pt idx="49">
                  <c:v>27.624309392265157</c:v>
                </c:pt>
                <c:pt idx="50">
                  <c:v>28.176795580110458</c:v>
                </c:pt>
                <c:pt idx="51">
                  <c:v>28.729281767955761</c:v>
                </c:pt>
                <c:pt idx="52">
                  <c:v>29.281767955801065</c:v>
                </c:pt>
                <c:pt idx="53">
                  <c:v>29.834254143646366</c:v>
                </c:pt>
                <c:pt idx="54">
                  <c:v>30.386740331491669</c:v>
                </c:pt>
                <c:pt idx="55">
                  <c:v>30.93922651933697</c:v>
                </c:pt>
                <c:pt idx="56">
                  <c:v>31.491712707182273</c:v>
                </c:pt>
                <c:pt idx="57">
                  <c:v>32.044198895027577</c:v>
                </c:pt>
                <c:pt idx="58">
                  <c:v>32.596685082872881</c:v>
                </c:pt>
                <c:pt idx="59">
                  <c:v>33.149171270718178</c:v>
                </c:pt>
                <c:pt idx="60">
                  <c:v>33.701657458563481</c:v>
                </c:pt>
                <c:pt idx="61">
                  <c:v>34.254143646408785</c:v>
                </c:pt>
                <c:pt idx="62">
                  <c:v>34.806629834254089</c:v>
                </c:pt>
                <c:pt idx="63">
                  <c:v>35.359116022099393</c:v>
                </c:pt>
                <c:pt idx="64">
                  <c:v>35.911602209944689</c:v>
                </c:pt>
                <c:pt idx="65">
                  <c:v>36.464088397789993</c:v>
                </c:pt>
                <c:pt idx="66">
                  <c:v>37.016574585635297</c:v>
                </c:pt>
                <c:pt idx="67">
                  <c:v>37.569060773480601</c:v>
                </c:pt>
                <c:pt idx="68">
                  <c:v>38.121546961325905</c:v>
                </c:pt>
                <c:pt idx="69">
                  <c:v>38.674033149171208</c:v>
                </c:pt>
                <c:pt idx="70">
                  <c:v>39.226519337016505</c:v>
                </c:pt>
                <c:pt idx="71">
                  <c:v>39.779005524861809</c:v>
                </c:pt>
                <c:pt idx="72">
                  <c:v>40.331491712707113</c:v>
                </c:pt>
                <c:pt idx="73">
                  <c:v>40.883977900552416</c:v>
                </c:pt>
                <c:pt idx="74">
                  <c:v>41.43646408839772</c:v>
                </c:pt>
                <c:pt idx="75">
                  <c:v>41.988950276243017</c:v>
                </c:pt>
                <c:pt idx="76">
                  <c:v>42.541436464088321</c:v>
                </c:pt>
                <c:pt idx="77">
                  <c:v>43.093922651933624</c:v>
                </c:pt>
                <c:pt idx="78">
                  <c:v>43.646408839778928</c:v>
                </c:pt>
                <c:pt idx="79">
                  <c:v>44.198895027624232</c:v>
                </c:pt>
                <c:pt idx="80">
                  <c:v>44.751381215469536</c:v>
                </c:pt>
                <c:pt idx="81">
                  <c:v>45.303867403314833</c:v>
                </c:pt>
                <c:pt idx="82">
                  <c:v>45.856353591160136</c:v>
                </c:pt>
                <c:pt idx="83">
                  <c:v>46.40883977900544</c:v>
                </c:pt>
                <c:pt idx="84">
                  <c:v>46.961325966850744</c:v>
                </c:pt>
                <c:pt idx="85">
                  <c:v>47.513812154696048</c:v>
                </c:pt>
                <c:pt idx="86">
                  <c:v>48.066298342541344</c:v>
                </c:pt>
                <c:pt idx="87">
                  <c:v>48.618784530386648</c:v>
                </c:pt>
                <c:pt idx="88">
                  <c:v>49.171270718231952</c:v>
                </c:pt>
                <c:pt idx="89">
                  <c:v>49.723756906077256</c:v>
                </c:pt>
                <c:pt idx="90">
                  <c:v>50.27624309392256</c:v>
                </c:pt>
                <c:pt idx="91">
                  <c:v>50.828729281767856</c:v>
                </c:pt>
                <c:pt idx="92">
                  <c:v>51.38121546961316</c:v>
                </c:pt>
                <c:pt idx="93">
                  <c:v>51.933701657458464</c:v>
                </c:pt>
                <c:pt idx="94">
                  <c:v>52.486187845303768</c:v>
                </c:pt>
                <c:pt idx="95">
                  <c:v>53.038674033149071</c:v>
                </c:pt>
                <c:pt idx="96">
                  <c:v>53.591160220994368</c:v>
                </c:pt>
                <c:pt idx="97">
                  <c:v>54.143646408839672</c:v>
                </c:pt>
                <c:pt idx="98">
                  <c:v>54.696132596684976</c:v>
                </c:pt>
                <c:pt idx="99">
                  <c:v>55.248618784530279</c:v>
                </c:pt>
                <c:pt idx="100">
                  <c:v>55.801104972375583</c:v>
                </c:pt>
                <c:pt idx="101">
                  <c:v>56.353591160220887</c:v>
                </c:pt>
                <c:pt idx="102">
                  <c:v>56.906077348066184</c:v>
                </c:pt>
                <c:pt idx="103">
                  <c:v>57.458563535911487</c:v>
                </c:pt>
                <c:pt idx="104">
                  <c:v>58.011049723756791</c:v>
                </c:pt>
                <c:pt idx="105">
                  <c:v>58.563535911602095</c:v>
                </c:pt>
                <c:pt idx="106">
                  <c:v>59.116022099447399</c:v>
                </c:pt>
                <c:pt idx="107">
                  <c:v>59.668508287292696</c:v>
                </c:pt>
                <c:pt idx="108">
                  <c:v>60.220994475137999</c:v>
                </c:pt>
                <c:pt idx="109">
                  <c:v>60.773480662983303</c:v>
                </c:pt>
                <c:pt idx="110">
                  <c:v>61.325966850828607</c:v>
                </c:pt>
                <c:pt idx="111">
                  <c:v>61.878453038673911</c:v>
                </c:pt>
                <c:pt idx="112">
                  <c:v>62.430939226519214</c:v>
                </c:pt>
                <c:pt idx="113">
                  <c:v>62.983425414364511</c:v>
                </c:pt>
                <c:pt idx="114">
                  <c:v>63.535911602209815</c:v>
                </c:pt>
                <c:pt idx="115">
                  <c:v>64.088397790055112</c:v>
                </c:pt>
                <c:pt idx="116">
                  <c:v>64.640883977900415</c:v>
                </c:pt>
                <c:pt idx="117">
                  <c:v>65.193370165745719</c:v>
                </c:pt>
                <c:pt idx="118">
                  <c:v>65.745856353591023</c:v>
                </c:pt>
                <c:pt idx="119">
                  <c:v>66.298342541436327</c:v>
                </c:pt>
                <c:pt idx="120">
                  <c:v>66.850828729281631</c:v>
                </c:pt>
                <c:pt idx="121">
                  <c:v>67.403314917126934</c:v>
                </c:pt>
                <c:pt idx="122">
                  <c:v>67.955801104972238</c:v>
                </c:pt>
                <c:pt idx="123">
                  <c:v>68.508287292817542</c:v>
                </c:pt>
                <c:pt idx="124">
                  <c:v>69.060773480662846</c:v>
                </c:pt>
                <c:pt idx="125">
                  <c:v>69.61325966850815</c:v>
                </c:pt>
                <c:pt idx="126">
                  <c:v>70.165745856353439</c:v>
                </c:pt>
                <c:pt idx="127">
                  <c:v>70.718232044198743</c:v>
                </c:pt>
                <c:pt idx="128">
                  <c:v>71.270718232044047</c:v>
                </c:pt>
                <c:pt idx="129">
                  <c:v>71.82320441988935</c:v>
                </c:pt>
                <c:pt idx="130">
                  <c:v>72.375690607734654</c:v>
                </c:pt>
                <c:pt idx="131">
                  <c:v>72.928176795579958</c:v>
                </c:pt>
                <c:pt idx="132">
                  <c:v>73.480662983425262</c:v>
                </c:pt>
                <c:pt idx="133">
                  <c:v>74.033149171270566</c:v>
                </c:pt>
                <c:pt idx="134">
                  <c:v>74.585635359115869</c:v>
                </c:pt>
                <c:pt idx="135">
                  <c:v>75.138121546961173</c:v>
                </c:pt>
                <c:pt idx="136">
                  <c:v>75.690607734806463</c:v>
                </c:pt>
                <c:pt idx="137">
                  <c:v>76.243093922651767</c:v>
                </c:pt>
                <c:pt idx="138">
                  <c:v>76.79558011049707</c:v>
                </c:pt>
                <c:pt idx="139">
                  <c:v>77.348066298342374</c:v>
                </c:pt>
                <c:pt idx="140">
                  <c:v>77.900552486187678</c:v>
                </c:pt>
                <c:pt idx="141">
                  <c:v>78.453038674032982</c:v>
                </c:pt>
                <c:pt idx="142">
                  <c:v>79.005524861878285</c:v>
                </c:pt>
                <c:pt idx="143">
                  <c:v>79.558011049723589</c:v>
                </c:pt>
                <c:pt idx="144">
                  <c:v>80.110497237568893</c:v>
                </c:pt>
                <c:pt idx="145">
                  <c:v>80.662983425414197</c:v>
                </c:pt>
                <c:pt idx="146">
                  <c:v>81.215469613259501</c:v>
                </c:pt>
                <c:pt idx="147">
                  <c:v>81.76795580110479</c:v>
                </c:pt>
                <c:pt idx="148">
                  <c:v>82.320441988950094</c:v>
                </c:pt>
                <c:pt idx="149">
                  <c:v>82.872928176795398</c:v>
                </c:pt>
                <c:pt idx="150">
                  <c:v>83.425414364640702</c:v>
                </c:pt>
                <c:pt idx="151">
                  <c:v>83.977900552486005</c:v>
                </c:pt>
                <c:pt idx="152">
                  <c:v>84.530386740331309</c:v>
                </c:pt>
                <c:pt idx="153">
                  <c:v>85.082872928176613</c:v>
                </c:pt>
                <c:pt idx="154">
                  <c:v>85.635359116021917</c:v>
                </c:pt>
                <c:pt idx="155">
                  <c:v>86.187845303867221</c:v>
                </c:pt>
                <c:pt idx="156">
                  <c:v>86.740331491712524</c:v>
                </c:pt>
                <c:pt idx="157">
                  <c:v>87.292817679557828</c:v>
                </c:pt>
                <c:pt idx="158">
                  <c:v>87.845303867403118</c:v>
                </c:pt>
                <c:pt idx="159">
                  <c:v>88.397790055248421</c:v>
                </c:pt>
                <c:pt idx="160">
                  <c:v>88.950276243093725</c:v>
                </c:pt>
                <c:pt idx="161">
                  <c:v>89.502762430939029</c:v>
                </c:pt>
                <c:pt idx="162">
                  <c:v>90.055248618784333</c:v>
                </c:pt>
                <c:pt idx="163">
                  <c:v>90.607734806629637</c:v>
                </c:pt>
                <c:pt idx="164">
                  <c:v>91.16022099447494</c:v>
                </c:pt>
                <c:pt idx="165">
                  <c:v>91.712707182320244</c:v>
                </c:pt>
                <c:pt idx="166">
                  <c:v>92.265193370165548</c:v>
                </c:pt>
                <c:pt idx="167">
                  <c:v>92.817679558010852</c:v>
                </c:pt>
                <c:pt idx="168">
                  <c:v>93.370165745856156</c:v>
                </c:pt>
                <c:pt idx="169">
                  <c:v>93.922651933701445</c:v>
                </c:pt>
                <c:pt idx="170">
                  <c:v>94.475138121546749</c:v>
                </c:pt>
                <c:pt idx="171">
                  <c:v>95.027624309392053</c:v>
                </c:pt>
                <c:pt idx="172">
                  <c:v>95.580110497237357</c:v>
                </c:pt>
                <c:pt idx="173">
                  <c:v>96.13259668508266</c:v>
                </c:pt>
                <c:pt idx="174">
                  <c:v>96.685082872927964</c:v>
                </c:pt>
                <c:pt idx="175">
                  <c:v>97.237569060773268</c:v>
                </c:pt>
                <c:pt idx="176">
                  <c:v>97.790055248618572</c:v>
                </c:pt>
                <c:pt idx="177">
                  <c:v>98.342541436463875</c:v>
                </c:pt>
                <c:pt idx="178">
                  <c:v>98.895027624309179</c:v>
                </c:pt>
                <c:pt idx="179">
                  <c:v>99.447513812154469</c:v>
                </c:pt>
                <c:pt idx="180">
                  <c:v>99.999999999999773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DEB-4F16-8B92-F87EE0FA34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1025280"/>
        <c:axId val="231115776"/>
      </c:scatterChart>
      <c:valAx>
        <c:axId val="23102528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Distance travelled</a:t>
                </a:r>
                <a:r>
                  <a:rPr lang="en-US" baseline="0"/>
                  <a:t> to</a:t>
                </a:r>
                <a:r>
                  <a:rPr lang="en-US"/>
                  <a:t> abattoir from farm (miles)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a-DK"/>
          </a:p>
        </c:txPr>
        <c:crossAx val="231115776"/>
        <c:crosses val="autoZero"/>
        <c:crossBetween val="midCat"/>
      </c:valAx>
      <c:valAx>
        <c:axId val="23111577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% of farmers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a-DK"/>
          </a:p>
        </c:txPr>
        <c:crossAx val="2310252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da-DK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894A-A312-44AA-B03D-33BD66BA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5440</Words>
  <Characters>33185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38548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Peden</dc:creator>
  <cp:lastModifiedBy>Sebastian Jacobsen</cp:lastModifiedBy>
  <cp:revision>2</cp:revision>
  <cp:lastPrinted>2021-11-11T14:27:00Z</cp:lastPrinted>
  <dcterms:created xsi:type="dcterms:W3CDTF">2022-06-19T12:15:00Z</dcterms:created>
  <dcterms:modified xsi:type="dcterms:W3CDTF">2022-06-19T12:15:00Z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